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9264" behindDoc="1" locked="0" layoutInCell="1" allowOverlap="1" wp14:anchorId="1E137005" wp14:editId="6ABD227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6E72A7F4" w14:textId="77777777" w:rsidR="003E4CCB" w:rsidRPr="00347388" w:rsidRDefault="003E4CCB" w:rsidP="003E4CCB">
      <w:pPr>
        <w:rPr>
          <w:rFonts w:cs="Arial"/>
          <w:b/>
          <w:sz w:val="28"/>
          <w:lang w:eastAsia="cs-CZ"/>
        </w:rPr>
      </w:pPr>
    </w:p>
    <w:p w14:paraId="3FA22F8E" w14:textId="77777777" w:rsidR="003E4CCB" w:rsidRPr="00347388" w:rsidRDefault="003E4CCB" w:rsidP="003E4CCB">
      <w:pPr>
        <w:spacing w:line="360" w:lineRule="auto"/>
        <w:rPr>
          <w:rFonts w:cs="Arial"/>
          <w:sz w:val="20"/>
          <w:lang w:eastAsia="cs-CZ"/>
        </w:rPr>
      </w:pPr>
      <w:r w:rsidRPr="00347388">
        <w:rPr>
          <w:rFonts w:cs="Arial"/>
          <w:sz w:val="20"/>
          <w:lang w:eastAsia="cs-CZ"/>
        </w:rPr>
        <w:t>Vypracoval:</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3D1A8B1C"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E25071">
        <w:rPr>
          <w:rFonts w:cs="Arial"/>
          <w:sz w:val="20"/>
          <w:lang w:eastAsia="cs-CZ"/>
        </w:rPr>
        <w:t>17</w:t>
      </w:r>
      <w:r w:rsidRPr="00E25071">
        <w:rPr>
          <w:rFonts w:cs="Arial"/>
          <w:sz w:val="20"/>
          <w:lang w:eastAsia="cs-CZ"/>
        </w:rPr>
        <w:t xml:space="preserve">. </w:t>
      </w:r>
      <w:r w:rsidR="00E25071">
        <w:rPr>
          <w:rFonts w:cs="Arial"/>
          <w:sz w:val="20"/>
          <w:lang w:eastAsia="cs-CZ"/>
        </w:rPr>
        <w:t>02</w:t>
      </w:r>
      <w:r w:rsidRPr="00E25071">
        <w:rPr>
          <w:rFonts w:cs="Arial"/>
          <w:sz w:val="20"/>
          <w:lang w:eastAsia="cs-CZ"/>
        </w:rPr>
        <w:t>. 201</w:t>
      </w:r>
      <w:r w:rsidR="00E25071">
        <w:rPr>
          <w:rFonts w:cs="Arial"/>
          <w:sz w:val="20"/>
          <w:lang w:eastAsia="cs-CZ"/>
        </w:rPr>
        <w:t>7</w:t>
      </w:r>
    </w:p>
    <w:p w14:paraId="451D69BB" w14:textId="77777777" w:rsidR="003E4CCB" w:rsidRPr="00347388" w:rsidRDefault="003E4CCB" w:rsidP="003E4CCB">
      <w:pPr>
        <w:spacing w:line="360" w:lineRule="auto"/>
        <w:rPr>
          <w:rFonts w:cs="Arial"/>
          <w:sz w:val="20"/>
          <w:lang w:eastAsia="cs-CZ"/>
        </w:rPr>
      </w:pPr>
    </w:p>
    <w:p w14:paraId="146DF6B0"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Predkladá:</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4FF53036"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E25071" w:rsidRPr="00E25071">
        <w:rPr>
          <w:rFonts w:cs="Arial"/>
          <w:sz w:val="20"/>
          <w:lang w:eastAsia="cs-CZ"/>
        </w:rPr>
        <w:t>17</w:t>
      </w:r>
      <w:r w:rsidRPr="00E25071">
        <w:rPr>
          <w:rFonts w:cs="Arial"/>
          <w:sz w:val="20"/>
          <w:lang w:eastAsia="cs-CZ"/>
        </w:rPr>
        <w:t>. </w:t>
      </w:r>
      <w:r w:rsidR="00E25071" w:rsidRPr="00E25071">
        <w:rPr>
          <w:rFonts w:cs="Arial"/>
          <w:sz w:val="20"/>
          <w:lang w:eastAsia="cs-CZ"/>
        </w:rPr>
        <w:t>02</w:t>
      </w:r>
      <w:r w:rsidRPr="00E25071">
        <w:rPr>
          <w:rFonts w:cs="Arial"/>
          <w:sz w:val="20"/>
          <w:lang w:eastAsia="cs-CZ"/>
        </w:rPr>
        <w:t>. 201</w:t>
      </w:r>
      <w:r w:rsidR="00E25071" w:rsidRPr="00E25071">
        <w:rPr>
          <w:rFonts w:cs="Arial"/>
          <w:sz w:val="20"/>
          <w:lang w:eastAsia="cs-CZ"/>
        </w:rPr>
        <w:t>7</w:t>
      </w:r>
    </w:p>
    <w:p w14:paraId="3FB3B4FA" w14:textId="77777777" w:rsidR="003E4CCB" w:rsidRPr="00347388" w:rsidRDefault="003E4CCB"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11EF80A1"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E25071" w:rsidRPr="00E25071">
        <w:rPr>
          <w:rFonts w:cs="Arial"/>
          <w:sz w:val="20"/>
          <w:lang w:eastAsia="cs-CZ"/>
        </w:rPr>
        <w:t>17</w:t>
      </w:r>
      <w:r w:rsidRPr="00E25071">
        <w:rPr>
          <w:rFonts w:cs="Arial"/>
          <w:sz w:val="20"/>
          <w:lang w:eastAsia="cs-CZ"/>
        </w:rPr>
        <w:t>. </w:t>
      </w:r>
      <w:r w:rsidR="00E25071" w:rsidRPr="00E25071">
        <w:rPr>
          <w:rFonts w:cs="Arial"/>
          <w:sz w:val="20"/>
          <w:lang w:eastAsia="cs-CZ"/>
        </w:rPr>
        <w:t>02</w:t>
      </w:r>
      <w:r w:rsidRPr="00E25071">
        <w:rPr>
          <w:rFonts w:cs="Arial"/>
          <w:sz w:val="20"/>
          <w:lang w:eastAsia="cs-CZ"/>
        </w:rPr>
        <w:t>. 201</w:t>
      </w:r>
      <w:r w:rsidR="00E25071" w:rsidRPr="00E25071">
        <w:rPr>
          <w:rFonts w:cs="Arial"/>
          <w:sz w:val="20"/>
          <w:lang w:eastAsia="cs-CZ"/>
        </w:rPr>
        <w:t>7</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177E9723" w:rsidR="003E4CCB" w:rsidRDefault="003E4CCB" w:rsidP="003E4CCB">
      <w:pPr>
        <w:jc w:val="center"/>
        <w:rPr>
          <w:color w:val="001D58"/>
          <w:sz w:val="60"/>
        </w:rPr>
      </w:pPr>
      <w:r w:rsidRPr="00E25071">
        <w:rPr>
          <w:rFonts w:cs="Arial"/>
          <w:sz w:val="18"/>
          <w:lang w:eastAsia="cs-CZ"/>
        </w:rPr>
        <w:t>Verzia: 2.</w:t>
      </w:r>
      <w:r w:rsidR="0017330F" w:rsidRPr="00E25071">
        <w:rPr>
          <w:rFonts w:cs="Arial"/>
          <w:sz w:val="18"/>
          <w:lang w:eastAsia="cs-CZ"/>
        </w:rPr>
        <w:t>5</w:t>
      </w:r>
      <w:r w:rsidRPr="00E25071">
        <w:rPr>
          <w:rFonts w:cs="Arial"/>
          <w:sz w:val="18"/>
          <w:lang w:eastAsia="cs-CZ"/>
        </w:rPr>
        <w:t xml:space="preserve">; platnosť od: </w:t>
      </w:r>
      <w:r w:rsidR="00E25071" w:rsidRPr="00E25071">
        <w:rPr>
          <w:rFonts w:cs="Arial"/>
          <w:sz w:val="18"/>
          <w:lang w:eastAsia="cs-CZ"/>
        </w:rPr>
        <w:t>17</w:t>
      </w:r>
      <w:r w:rsidRPr="00E25071">
        <w:rPr>
          <w:rFonts w:cs="Arial"/>
          <w:sz w:val="18"/>
          <w:lang w:eastAsia="cs-CZ"/>
        </w:rPr>
        <w:t xml:space="preserve">. </w:t>
      </w:r>
      <w:r w:rsidR="00E25071" w:rsidRPr="00E25071">
        <w:rPr>
          <w:rFonts w:cs="Arial"/>
          <w:sz w:val="18"/>
          <w:lang w:eastAsia="cs-CZ"/>
        </w:rPr>
        <w:t>02</w:t>
      </w:r>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r w:rsidR="00E25071" w:rsidRPr="00E25071">
        <w:rPr>
          <w:rFonts w:cs="Arial"/>
          <w:sz w:val="18"/>
          <w:lang w:eastAsia="cs-CZ"/>
        </w:rPr>
        <w:t>17</w:t>
      </w:r>
      <w:r w:rsidRPr="00E25071">
        <w:rPr>
          <w:rFonts w:cs="Arial"/>
          <w:sz w:val="18"/>
          <w:lang w:eastAsia="cs-CZ"/>
        </w:rPr>
        <w:t xml:space="preserve">. </w:t>
      </w:r>
      <w:r w:rsidR="00E25071" w:rsidRPr="00E25071">
        <w:rPr>
          <w:rFonts w:cs="Arial"/>
          <w:sz w:val="18"/>
          <w:lang w:eastAsia="cs-CZ"/>
        </w:rPr>
        <w:t>02</w:t>
      </w:r>
      <w:r w:rsidRPr="00E25071">
        <w:rPr>
          <w:rFonts w:cs="Arial"/>
          <w:sz w:val="18"/>
          <w:lang w:eastAsia="cs-CZ"/>
        </w:rPr>
        <w:t>. 201</w:t>
      </w:r>
      <w:r w:rsidR="00E25071" w:rsidRPr="00E25071">
        <w:rPr>
          <w:rFonts w:cs="Arial"/>
          <w:sz w:val="18"/>
          <w:lang w:eastAsia="cs-CZ"/>
        </w:rPr>
        <w:t>7</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7B4165">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7B4165">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7B4165">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1EE9C112" w14:textId="21A6B525" w:rsidR="00BF74B6" w:rsidRPr="00E135DC" w:rsidRDefault="007B4165">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22</w:t>
        </w:r>
        <w:r w:rsidR="00BF74B6" w:rsidRPr="00E135DC">
          <w:rPr>
            <w:rFonts w:cs="Arial"/>
            <w:noProof/>
            <w:webHidden/>
            <w:sz w:val="19"/>
            <w:szCs w:val="19"/>
          </w:rPr>
          <w:fldChar w:fldCharType="end"/>
        </w:r>
      </w:hyperlink>
    </w:p>
    <w:p w14:paraId="08A090A8" w14:textId="13800EC2" w:rsidR="00BF74B6" w:rsidRPr="00E135DC" w:rsidRDefault="007B4165">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24</w:t>
        </w:r>
        <w:r w:rsidR="00BF74B6" w:rsidRPr="00E135DC">
          <w:rPr>
            <w:rFonts w:cs="Arial"/>
            <w:noProof/>
            <w:webHidden/>
            <w:sz w:val="19"/>
            <w:szCs w:val="19"/>
          </w:rPr>
          <w:fldChar w:fldCharType="end"/>
        </w:r>
      </w:hyperlink>
    </w:p>
    <w:p w14:paraId="12DA2A97" w14:textId="32C2D270" w:rsidR="00BF74B6" w:rsidRPr="00E135DC" w:rsidRDefault="007B4165">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26</w:t>
        </w:r>
        <w:r w:rsidR="00BF74B6" w:rsidRPr="00E135DC">
          <w:rPr>
            <w:rFonts w:cs="Arial"/>
            <w:noProof/>
            <w:webHidden/>
            <w:sz w:val="19"/>
            <w:szCs w:val="19"/>
          </w:rPr>
          <w:fldChar w:fldCharType="end"/>
        </w:r>
      </w:hyperlink>
    </w:p>
    <w:p w14:paraId="56A0A71D" w14:textId="770FE1BC"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6C37EF94" w14:textId="3753DB57" w:rsidR="00BF74B6" w:rsidRPr="00E135DC" w:rsidRDefault="007B4165">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27</w:t>
        </w:r>
        <w:r w:rsidR="00BF74B6" w:rsidRPr="00E135DC">
          <w:rPr>
            <w:rFonts w:cs="Arial"/>
            <w:noProof/>
            <w:webHidden/>
            <w:sz w:val="19"/>
            <w:szCs w:val="19"/>
          </w:rPr>
          <w:fldChar w:fldCharType="end"/>
        </w:r>
      </w:hyperlink>
    </w:p>
    <w:p w14:paraId="38EEFE1F" w14:textId="27125DC4" w:rsidR="00BF74B6" w:rsidRPr="00E135DC" w:rsidRDefault="007B4165">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28</w:t>
        </w:r>
        <w:r w:rsidR="00BF74B6" w:rsidRPr="00E135DC">
          <w:rPr>
            <w:rFonts w:cs="Arial"/>
            <w:noProof/>
            <w:webHidden/>
            <w:sz w:val="19"/>
            <w:szCs w:val="19"/>
          </w:rPr>
          <w:fldChar w:fldCharType="end"/>
        </w:r>
      </w:hyperlink>
    </w:p>
    <w:p w14:paraId="4397C0C1" w14:textId="06A3F4C9" w:rsidR="00BF74B6" w:rsidRPr="00E135DC" w:rsidRDefault="007B4165">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2FCA8F9F" w14:textId="5AF2688F" w:rsidR="00BF74B6" w:rsidRPr="00E135DC" w:rsidRDefault="007B4165">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31</w:t>
        </w:r>
        <w:r w:rsidR="00BF74B6" w:rsidRPr="00E135DC">
          <w:rPr>
            <w:rFonts w:cs="Arial"/>
            <w:noProof/>
            <w:webHidden/>
            <w:sz w:val="19"/>
            <w:szCs w:val="19"/>
          </w:rPr>
          <w:fldChar w:fldCharType="end"/>
        </w:r>
      </w:hyperlink>
    </w:p>
    <w:p w14:paraId="08F482A2" w14:textId="5D3AD42A" w:rsidR="00BF74B6" w:rsidRPr="00E135DC" w:rsidRDefault="007B4165">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53</w:t>
        </w:r>
        <w:r w:rsidR="00BF74B6" w:rsidRPr="00E135DC">
          <w:rPr>
            <w:rFonts w:cs="Arial"/>
            <w:noProof/>
            <w:webHidden/>
            <w:sz w:val="19"/>
            <w:szCs w:val="19"/>
          </w:rPr>
          <w:fldChar w:fldCharType="end"/>
        </w:r>
      </w:hyperlink>
    </w:p>
    <w:p w14:paraId="27443959" w14:textId="34EA31A4" w:rsidR="00BF74B6" w:rsidRPr="00E135DC" w:rsidRDefault="007B4165">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54</w:t>
        </w:r>
        <w:r w:rsidR="00BF74B6" w:rsidRPr="00E135DC">
          <w:rPr>
            <w:rFonts w:cs="Arial"/>
            <w:noProof/>
            <w:webHidden/>
            <w:sz w:val="19"/>
            <w:szCs w:val="19"/>
          </w:rPr>
          <w:fldChar w:fldCharType="end"/>
        </w:r>
      </w:hyperlink>
    </w:p>
    <w:p w14:paraId="7F58E385" w14:textId="177F2703" w:rsidR="00BF74B6" w:rsidRPr="00E135DC" w:rsidRDefault="007B4165">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61</w:t>
        </w:r>
        <w:r w:rsidR="00BF74B6" w:rsidRPr="00E135DC">
          <w:rPr>
            <w:rFonts w:cs="Arial"/>
            <w:noProof/>
            <w:webHidden/>
            <w:sz w:val="19"/>
            <w:szCs w:val="19"/>
          </w:rPr>
          <w:fldChar w:fldCharType="end"/>
        </w:r>
      </w:hyperlink>
    </w:p>
    <w:p w14:paraId="101D5D81" w14:textId="1477AAC0" w:rsidR="00BF74B6" w:rsidRPr="00E135DC" w:rsidRDefault="007B4165">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74</w:t>
        </w:r>
        <w:r w:rsidR="00BF74B6" w:rsidRPr="00E135DC">
          <w:rPr>
            <w:rFonts w:cs="Arial"/>
            <w:noProof/>
            <w:webHidden/>
            <w:sz w:val="19"/>
            <w:szCs w:val="19"/>
          </w:rPr>
          <w:fldChar w:fldCharType="end"/>
        </w:r>
      </w:hyperlink>
    </w:p>
    <w:p w14:paraId="5198DED3" w14:textId="4DDE4FFB"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79</w:t>
        </w:r>
        <w:r w:rsidR="00BF74B6" w:rsidRPr="00E135DC">
          <w:rPr>
            <w:rFonts w:cs="Arial"/>
            <w:noProof/>
            <w:webHidden/>
            <w:sz w:val="19"/>
            <w:szCs w:val="19"/>
          </w:rPr>
          <w:fldChar w:fldCharType="end"/>
        </w:r>
      </w:hyperlink>
    </w:p>
    <w:p w14:paraId="70A930FF" w14:textId="04086E0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752"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80</w:t>
        </w:r>
        <w:r w:rsidR="00BF74B6" w:rsidRPr="00E135DC">
          <w:rPr>
            <w:rFonts w:cs="Arial"/>
            <w:noProof/>
            <w:webHidden/>
            <w:sz w:val="19"/>
            <w:szCs w:val="19"/>
          </w:rPr>
          <w:fldChar w:fldCharType="end"/>
        </w:r>
      </w:hyperlink>
    </w:p>
    <w:p w14:paraId="25C99981" w14:textId="52724834" w:rsidR="00BF74B6" w:rsidRPr="00E135DC" w:rsidRDefault="007B4165">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81</w:t>
        </w:r>
        <w:r w:rsidR="00BF74B6" w:rsidRPr="00E135DC">
          <w:rPr>
            <w:rFonts w:cs="Arial"/>
            <w:noProof/>
            <w:webHidden/>
            <w:sz w:val="19"/>
            <w:szCs w:val="19"/>
          </w:rPr>
          <w:fldChar w:fldCharType="end"/>
        </w:r>
      </w:hyperlink>
    </w:p>
    <w:p w14:paraId="4212AEDF" w14:textId="0548D32D" w:rsidR="00BF74B6" w:rsidRPr="00E135DC" w:rsidRDefault="007B4165">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61CB8603" w14:textId="55DA287B" w:rsidR="00BF74B6" w:rsidRPr="00E135DC" w:rsidRDefault="007B4165">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57E11B99" w14:textId="79A9C6C8" w:rsidR="00BF74B6" w:rsidRPr="00E135DC" w:rsidRDefault="007B4165">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83</w:t>
        </w:r>
        <w:r w:rsidR="00BF74B6" w:rsidRPr="00E135DC">
          <w:rPr>
            <w:rFonts w:cs="Arial"/>
            <w:noProof/>
            <w:webHidden/>
            <w:sz w:val="19"/>
            <w:szCs w:val="19"/>
          </w:rPr>
          <w:fldChar w:fldCharType="end"/>
        </w:r>
      </w:hyperlink>
    </w:p>
    <w:p w14:paraId="71EC95BE" w14:textId="2D4FED4C" w:rsidR="00BF74B6" w:rsidRPr="00E135DC" w:rsidRDefault="007B4165">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88</w:t>
        </w:r>
        <w:r w:rsidR="00BF74B6" w:rsidRPr="00E135DC">
          <w:rPr>
            <w:rFonts w:cs="Arial"/>
            <w:noProof/>
            <w:webHidden/>
            <w:sz w:val="19"/>
            <w:szCs w:val="19"/>
          </w:rPr>
          <w:fldChar w:fldCharType="end"/>
        </w:r>
      </w:hyperlink>
    </w:p>
    <w:p w14:paraId="1C39A013" w14:textId="6E4F44B0" w:rsidR="00BF74B6" w:rsidRPr="00E135DC" w:rsidRDefault="007B4165">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102</w:t>
        </w:r>
        <w:r w:rsidR="00BF74B6" w:rsidRPr="00E135DC">
          <w:rPr>
            <w:rFonts w:cs="Arial"/>
            <w:noProof/>
            <w:webHidden/>
            <w:sz w:val="19"/>
            <w:szCs w:val="19"/>
          </w:rPr>
          <w:fldChar w:fldCharType="end"/>
        </w:r>
      </w:hyperlink>
    </w:p>
    <w:p w14:paraId="69BEAABA" w14:textId="720B0A19" w:rsidR="00BF74B6" w:rsidRPr="00E135DC" w:rsidRDefault="007B4165">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105</w:t>
        </w:r>
        <w:r w:rsidR="00BF74B6" w:rsidRPr="00E135DC">
          <w:rPr>
            <w:rFonts w:cs="Arial"/>
            <w:noProof/>
            <w:webHidden/>
            <w:sz w:val="19"/>
            <w:szCs w:val="19"/>
          </w:rPr>
          <w:fldChar w:fldCharType="end"/>
        </w:r>
      </w:hyperlink>
    </w:p>
    <w:p w14:paraId="52A899C1" w14:textId="2C8F4C28" w:rsidR="00BF74B6" w:rsidRPr="00E135DC" w:rsidRDefault="007B4165">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114</w:t>
        </w:r>
        <w:r w:rsidR="00BF74B6" w:rsidRPr="00E135DC">
          <w:rPr>
            <w:rFonts w:cs="Arial"/>
            <w:noProof/>
            <w:webHidden/>
            <w:sz w:val="19"/>
            <w:szCs w:val="19"/>
          </w:rPr>
          <w:fldChar w:fldCharType="end"/>
        </w:r>
      </w:hyperlink>
    </w:p>
    <w:p w14:paraId="291F6871" w14:textId="106963BD" w:rsidR="00BF74B6" w:rsidRPr="00E135DC" w:rsidRDefault="007B4165">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118</w:t>
        </w:r>
        <w:r w:rsidR="00BF74B6" w:rsidRPr="00E135DC">
          <w:rPr>
            <w:rFonts w:cs="Arial"/>
            <w:noProof/>
            <w:webHidden/>
            <w:sz w:val="19"/>
            <w:szCs w:val="19"/>
          </w:rPr>
          <w:fldChar w:fldCharType="end"/>
        </w:r>
      </w:hyperlink>
    </w:p>
    <w:p w14:paraId="34F67D09" w14:textId="36240EE5"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6F278EC5" w14:textId="202C41C2"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124</w:t>
        </w:r>
        <w:r w:rsidR="00BF74B6" w:rsidRPr="00E135DC">
          <w:rPr>
            <w:rFonts w:cs="Arial"/>
            <w:noProof/>
            <w:webHidden/>
            <w:sz w:val="19"/>
            <w:szCs w:val="19"/>
          </w:rPr>
          <w:fldChar w:fldCharType="end"/>
        </w:r>
      </w:hyperlink>
    </w:p>
    <w:p w14:paraId="5B9D06DD" w14:textId="205C3ABD" w:rsidR="00BF74B6" w:rsidRPr="00E135DC" w:rsidRDefault="007B4165">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321D2A52" w14:textId="0D462C72"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127</w:t>
        </w:r>
        <w:r w:rsidR="00BF74B6" w:rsidRPr="00E135DC">
          <w:rPr>
            <w:rFonts w:cs="Arial"/>
            <w:noProof/>
            <w:webHidden/>
            <w:sz w:val="19"/>
            <w:szCs w:val="19"/>
          </w:rPr>
          <w:fldChar w:fldCharType="end"/>
        </w:r>
      </w:hyperlink>
    </w:p>
    <w:p w14:paraId="23ED640E" w14:textId="5823C557" w:rsidR="00BF74B6" w:rsidRPr="00E135DC" w:rsidRDefault="007B4165">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130</w:t>
        </w:r>
        <w:r w:rsidR="00BF74B6" w:rsidRPr="00E135DC">
          <w:rPr>
            <w:rFonts w:cs="Arial"/>
            <w:noProof/>
            <w:webHidden/>
            <w:sz w:val="19"/>
            <w:szCs w:val="19"/>
          </w:rPr>
          <w:fldChar w:fldCharType="end"/>
        </w:r>
      </w:hyperlink>
    </w:p>
    <w:p w14:paraId="652445E0" w14:textId="6F566FB9" w:rsidR="00BF74B6" w:rsidRPr="00E135DC" w:rsidRDefault="007B4165">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137</w:t>
        </w:r>
        <w:r w:rsidR="00BF74B6" w:rsidRPr="00E135DC">
          <w:rPr>
            <w:rFonts w:cs="Arial"/>
            <w:noProof/>
            <w:webHidden/>
            <w:sz w:val="19"/>
            <w:szCs w:val="19"/>
          </w:rPr>
          <w:fldChar w:fldCharType="end"/>
        </w:r>
      </w:hyperlink>
    </w:p>
    <w:p w14:paraId="3B998595" w14:textId="6208F33B" w:rsidR="00BF74B6" w:rsidRPr="00E135DC" w:rsidRDefault="007B4165">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E25071">
          <w:rPr>
            <w:rFonts w:cs="Arial"/>
            <w:noProof/>
            <w:webHidden/>
            <w:sz w:val="19"/>
            <w:szCs w:val="19"/>
          </w:rPr>
          <w:t>138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 xml:space="preserve">pokladnice, najmä centralizáciu riadenia verejných financií, </w:t>
      </w:r>
      <w:r w:rsidRPr="0073389C">
        <w:rPr>
          <w:rFonts w:cs="Arial"/>
          <w:szCs w:val="19"/>
          <w:lang w:val="sk-SK"/>
        </w:rPr>
        <w:lastRenderedPageBreak/>
        <w:t>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40636368"/>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40636369"/>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40636370"/>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40636371"/>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40636372"/>
      <w:r w:rsidRPr="0073389C">
        <w:rPr>
          <w:lang w:val="sk-SK"/>
        </w:rPr>
        <w:t>Všeobecné informácie</w:t>
      </w:r>
      <w:bookmarkEnd w:id="23"/>
      <w:bookmarkEnd w:id="24"/>
      <w:bookmarkEnd w:id="25"/>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40636373"/>
      <w:r w:rsidRPr="0073389C">
        <w:rPr>
          <w:lang w:val="sk-SK"/>
        </w:rPr>
        <w:t>Na čo nezabudnúť po podpise zmluvy</w:t>
      </w:r>
      <w:bookmarkEnd w:id="26"/>
      <w:bookmarkEnd w:id="27"/>
      <w:bookmarkEnd w:id="28"/>
    </w:p>
    <w:p w14:paraId="7A55CE47" w14:textId="7DDA5293"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03A6FA79"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w:t>
      </w:r>
      <w:r w:rsidR="0014799B">
        <w:t xml:space="preserve">finančnej </w:t>
      </w:r>
      <w:r w:rsidRPr="0073389C">
        <w:t xml:space="preserve">kontroly na mieste </w:t>
      </w:r>
      <w:r w:rsidRPr="0073389C">
        <w:lastRenderedPageBreak/>
        <w:t xml:space="preserve">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 xml:space="preserve">informácia </w:t>
      </w:r>
      <w:r w:rsidR="009E27C5" w:rsidRPr="0073389C">
        <w:lastRenderedPageBreak/>
        <w:t>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40636374"/>
      <w:r w:rsidRPr="0073389C">
        <w:rPr>
          <w:lang w:val="sk-SK"/>
        </w:rPr>
        <w:t>Monitorovanie projektu</w:t>
      </w:r>
      <w:bookmarkEnd w:id="29"/>
      <w:bookmarkEnd w:id="30"/>
      <w:bookmarkEnd w:id="31"/>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9A78AB">
      <w:pPr>
        <w:numPr>
          <w:ilvl w:val="0"/>
          <w:numId w:val="30"/>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lastRenderedPageBreak/>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A78AB">
      <w:pPr>
        <w:pStyle w:val="Bulletslevel2"/>
        <w:numPr>
          <w:ilvl w:val="0"/>
          <w:numId w:val="80"/>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9A78AB">
      <w:pPr>
        <w:pStyle w:val="Bulletslevel1"/>
        <w:numPr>
          <w:ilvl w:val="1"/>
          <w:numId w:val="81"/>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9A78AB">
      <w:pPr>
        <w:pStyle w:val="Bulletslevel1"/>
        <w:numPr>
          <w:ilvl w:val="1"/>
          <w:numId w:val="81"/>
        </w:numPr>
        <w:rPr>
          <w:lang w:val="sk-SK"/>
        </w:rPr>
      </w:pPr>
      <w:r w:rsidRPr="0073389C">
        <w:rPr>
          <w:lang w:val="sk-SK"/>
        </w:rPr>
        <w:t xml:space="preserve">aktuálne hodnoty ukazovateľov; </w:t>
      </w:r>
    </w:p>
    <w:p w14:paraId="7A55CE78" w14:textId="77777777" w:rsidR="00274ECC" w:rsidRPr="0073389C" w:rsidRDefault="00274ECC" w:rsidP="009A78AB">
      <w:pPr>
        <w:pStyle w:val="Bulletslevel1"/>
        <w:numPr>
          <w:ilvl w:val="1"/>
          <w:numId w:val="81"/>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lastRenderedPageBreak/>
        <w:t>p</w:t>
      </w:r>
      <w:r w:rsidRPr="0073389C">
        <w:t>rijímateľ pož</w:t>
      </w:r>
      <w:bookmarkStart w:id="32" w:name="_GoBack"/>
      <w:bookmarkEnd w:id="32"/>
      <w:r w:rsidRPr="0073389C">
        <w:t xml:space="preserve">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w:t>
      </w:r>
      <w:r>
        <w:rPr>
          <w:rFonts w:ascii="Arial" w:hAnsi="Arial"/>
          <w:color w:val="auto"/>
          <w:sz w:val="19"/>
          <w:lang w:val="sk-SK"/>
        </w:rPr>
        <w:lastRenderedPageBreak/>
        <w:t xml:space="preserve">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32619164" w14:textId="77777777" w:rsidR="00F651CD" w:rsidRDefault="00F651CD" w:rsidP="00F651CD">
      <w:pPr>
        <w:pStyle w:val="Default"/>
        <w:jc w:val="both"/>
        <w:rPr>
          <w:rFonts w:ascii="Arial" w:hAnsi="Arial"/>
          <w:color w:val="auto"/>
          <w:sz w:val="19"/>
          <w:lang w:val="sk-SK"/>
        </w:rPr>
      </w:pPr>
    </w:p>
    <w:p w14:paraId="7A55CE7C" w14:textId="50DE31F8"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w:t>
      </w:r>
      <w:r w:rsidRPr="0073389C">
        <w:lastRenderedPageBreak/>
        <w:t xml:space="preserve">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AB2DF3">
      <w:pPr>
        <w:pStyle w:val="Odsekzoznamu"/>
        <w:numPr>
          <w:ilvl w:val="0"/>
          <w:numId w:val="10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317C7">
      <w:pPr>
        <w:numPr>
          <w:ilvl w:val="0"/>
          <w:numId w:val="41"/>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FD2BDF">
      <w:pPr>
        <w:numPr>
          <w:ilvl w:val="0"/>
          <w:numId w:val="41"/>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9A78AB">
      <w:pPr>
        <w:numPr>
          <w:ilvl w:val="0"/>
          <w:numId w:val="41"/>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9A78AB">
      <w:pPr>
        <w:numPr>
          <w:ilvl w:val="0"/>
          <w:numId w:val="41"/>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9A78AB">
      <w:pPr>
        <w:numPr>
          <w:ilvl w:val="0"/>
          <w:numId w:val="41"/>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033F4A">
      <w:pPr>
        <w:numPr>
          <w:ilvl w:val="0"/>
          <w:numId w:val="41"/>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w:t>
      </w:r>
      <w:r w:rsidRPr="0073389C">
        <w:lastRenderedPageBreak/>
        <w:t xml:space="preserve">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lastRenderedPageBreak/>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lastRenderedPageBreak/>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w:t>
      </w:r>
      <w:r w:rsidRPr="00C33B6F">
        <w:rPr>
          <w:rFonts w:cs="Arial"/>
          <w:szCs w:val="16"/>
        </w:rPr>
        <w:lastRenderedPageBreak/>
        <w:t>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9A78AB">
      <w:pPr>
        <w:pStyle w:val="Odsekzoznamu"/>
        <w:numPr>
          <w:ilvl w:val="0"/>
          <w:numId w:val="82"/>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9A78AB">
      <w:pPr>
        <w:pStyle w:val="Odsekzoznamu"/>
        <w:numPr>
          <w:ilvl w:val="0"/>
          <w:numId w:val="82"/>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minimálne raz mesačne prevedie prostriedky z osobitného účtu na iný účet otvorený prijímateľom, z ktorého priebežne realizuje úhrady špecifických výdavkov. Prijímateľ prevedie sumu vo výške </w:t>
      </w:r>
      <w:r w:rsidRPr="0073389C">
        <w:rPr>
          <w:szCs w:val="19"/>
          <w:lang w:val="sk-SK"/>
        </w:rPr>
        <w:lastRenderedPageBreak/>
        <w:t>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lastRenderedPageBreak/>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w:t>
      </w:r>
      <w:r w:rsidRPr="0073389C">
        <w:lastRenderedPageBreak/>
        <w:t xml:space="preserve">oprávnené výdavky za </w:t>
      </w:r>
      <w:r w:rsidR="0079229B">
        <w:t xml:space="preserve">celkovú cenu práce, t. j. </w:t>
      </w:r>
      <w:r w:rsidRPr="0073389C">
        <w:t>všetky zložky mzdy vrátane príplatkov</w:t>
      </w:r>
      <w:r w:rsidRPr="0073389C">
        <w:rPr>
          <w:rStyle w:val="Odkaznapoznmkupodiarou"/>
          <w:sz w:val="19"/>
        </w:rPr>
        <w:footnoteReference w:id="2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4ED353E"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6"/>
      </w:r>
      <w:r w:rsidRPr="0073389C">
        <w:t xml:space="preserve">, resp. odmeny na základe dohôd o </w:t>
      </w:r>
      <w:r w:rsidR="001F6828" w:rsidRPr="0073389C">
        <w:t>prác</w:t>
      </w:r>
      <w:r w:rsidR="00CE6423">
        <w:t>ách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lastRenderedPageBreak/>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B573C4">
      <w:pPr>
        <w:pStyle w:val="Zkladntext"/>
        <w:numPr>
          <w:ilvl w:val="0"/>
          <w:numId w:val="100"/>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w:t>
      </w:r>
      <w:r w:rsidRPr="0073389C">
        <w:lastRenderedPageBreak/>
        <w:t xml:space="preserve">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lastRenderedPageBreak/>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0"/>
      </w:r>
      <w:r w:rsidRPr="00B13AD8">
        <w:rPr>
          <w:rFonts w:cs="Arial"/>
          <w:szCs w:val="19"/>
        </w:rPr>
        <w:t xml:space="preserve">,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w:t>
      </w:r>
      <w:r w:rsidRPr="00B13AD8">
        <w:rPr>
          <w:rFonts w:cs="Arial"/>
          <w:szCs w:val="19"/>
        </w:rPr>
        <w:lastRenderedPageBreak/>
        <w:t>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AA6482">
      <w:pPr>
        <w:pStyle w:val="Odsekzoznamu"/>
        <w:numPr>
          <w:ilvl w:val="0"/>
          <w:numId w:val="84"/>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lastRenderedPageBreak/>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6"/>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7"/>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8"/>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0"/>
      </w:r>
      <w:r w:rsidRPr="0073389C">
        <w:rPr>
          <w:rFonts w:ascii="Arial" w:hAnsi="Arial" w:cs="Arial"/>
          <w:sz w:val="19"/>
          <w:szCs w:val="19"/>
        </w:rPr>
        <w:t xml:space="preserve">); </w:t>
      </w:r>
    </w:p>
    <w:p w14:paraId="7A55CFF7"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9A78AB">
      <w:pPr>
        <w:pStyle w:val="Zoznamsodrkami"/>
        <w:numPr>
          <w:ilvl w:val="0"/>
          <w:numId w:val="35"/>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obstarávacia cena</w:t>
      </w:r>
      <w:r w:rsidRPr="0073389C">
        <w:rPr>
          <w:rStyle w:val="Odkaznapoznmkupodiarou"/>
          <w:sz w:val="19"/>
        </w:rPr>
        <w:footnoteReference w:id="51"/>
      </w:r>
      <w:r w:rsidRPr="0073389C">
        <w:t xml:space="preserve"> použitého zariadenia je nižšia ako výdavky na obdobné nové zariadenie; </w:t>
      </w:r>
    </w:p>
    <w:p w14:paraId="7A55D02F"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2"/>
      </w:r>
      <w:r w:rsidRPr="0073389C">
        <w:t xml:space="preserve">; </w:t>
      </w:r>
    </w:p>
    <w:p w14:paraId="7A55D031"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súčasný, či niektorý z predchádzajúcich vlastníkov zariadenia nezískal pred predložením žiadosti o NFP príspevok z verejných zdrojov na nákup daného použitého zariadenia, čo by v prípade </w:t>
      </w:r>
      <w:r w:rsidRPr="0073389C">
        <w:lastRenderedPageBreak/>
        <w:t>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3"/>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A78AB">
      <w:pPr>
        <w:numPr>
          <w:ilvl w:val="0"/>
          <w:numId w:val="84"/>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4"/>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5"/>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6"/>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w:t>
      </w:r>
      <w:r w:rsidRPr="0073389C">
        <w:lastRenderedPageBreak/>
        <w:t xml:space="preserve">opodstatnenosť pre projekt, cieľ, obsah a rozsah s im prideleným projektovým manažérom, ešte pred ich obstaraním, resp. pred podpisom zmluvy s ich dodávateľom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A78AB">
      <w:pPr>
        <w:pStyle w:val="Odsekzoznamu"/>
        <w:numPr>
          <w:ilvl w:val="0"/>
          <w:numId w:val="84"/>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D058"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58"/>
      </w:r>
      <w:r w:rsidRPr="0073389C">
        <w:rPr>
          <w:rFonts w:ascii="Arial" w:hAnsi="Arial" w:cs="Arial"/>
          <w:sz w:val="19"/>
          <w:szCs w:val="19"/>
        </w:rPr>
        <w:t>;</w:t>
      </w:r>
    </w:p>
    <w:p w14:paraId="7A55D059"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0"/>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A78AB">
      <w:pPr>
        <w:pStyle w:val="Zkladntext"/>
        <w:numPr>
          <w:ilvl w:val="0"/>
          <w:numId w:val="84"/>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A78AB">
      <w:pPr>
        <w:pStyle w:val="Zkladntext"/>
        <w:numPr>
          <w:ilvl w:val="0"/>
          <w:numId w:val="38"/>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1"/>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2"/>
      </w:r>
      <w:r w:rsidRPr="0073389C">
        <w:rPr>
          <w:rFonts w:ascii="Arial" w:hAnsi="Arial" w:cs="Arial"/>
          <w:sz w:val="19"/>
          <w:szCs w:val="19"/>
        </w:rPr>
        <w:t>;</w:t>
      </w:r>
    </w:p>
    <w:p w14:paraId="06FE162D"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3B2E8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3"/>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64"/>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lastRenderedPageBreak/>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5"/>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t xml:space="preserve">Poskytnutie zálohovej platby </w:t>
      </w:r>
    </w:p>
    <w:p w14:paraId="3614987C" w14:textId="77777777"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lastRenderedPageBreak/>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 xml:space="preserve">o uvedenej skutočnosti ako i dôvodoch nedodržania stanovených podmienok </w:t>
      </w:r>
      <w:r w:rsidRPr="0073389C">
        <w:lastRenderedPageBreak/>
        <w:t>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A78AB">
      <w:pPr>
        <w:pStyle w:val="Odsekzoznamu"/>
        <w:numPr>
          <w:ilvl w:val="1"/>
          <w:numId w:val="60"/>
        </w:numPr>
        <w:autoSpaceDE w:val="0"/>
        <w:autoSpaceDN w:val="0"/>
        <w:adjustRightInd w:val="0"/>
        <w:spacing w:before="120" w:after="120" w:line="288" w:lineRule="auto"/>
        <w:ind w:left="709" w:hanging="425"/>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A78AB">
      <w:pPr>
        <w:numPr>
          <w:ilvl w:val="1"/>
          <w:numId w:val="60"/>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6"/>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w:t>
      </w:r>
      <w:r w:rsidRPr="0073389C">
        <w:lastRenderedPageBreak/>
        <w:t xml:space="preserve">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9"/>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xml:space="preserve">. V prípade, ak k predloženému výdavku je priložených viacero </w:t>
      </w:r>
      <w:r w:rsidRPr="0073389C">
        <w:rPr>
          <w:rFonts w:ascii="Arial" w:hAnsi="Arial" w:cs="Arial"/>
          <w:sz w:val="19"/>
          <w:szCs w:val="19"/>
          <w:lang w:val="sk-SK"/>
        </w:rPr>
        <w:lastRenderedPageBreak/>
        <w:t>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lastRenderedPageBreak/>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4"/>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5"/>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6"/>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lastRenderedPageBreak/>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8"/>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9"/>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0"/>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lastRenderedPageBreak/>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A78AB">
      <w:pPr>
        <w:pStyle w:val="Bulletslevel1"/>
        <w:numPr>
          <w:ilvl w:val="1"/>
          <w:numId w:val="72"/>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A78AB">
      <w:pPr>
        <w:pStyle w:val="Bulletslevel1"/>
        <w:numPr>
          <w:ilvl w:val="1"/>
          <w:numId w:val="72"/>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A78AB">
      <w:pPr>
        <w:pStyle w:val="Bulletslevel1"/>
        <w:numPr>
          <w:ilvl w:val="1"/>
          <w:numId w:val="72"/>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A78AB">
      <w:pPr>
        <w:pStyle w:val="Bulletslevel1"/>
        <w:numPr>
          <w:ilvl w:val="1"/>
          <w:numId w:val="72"/>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9A78AB">
      <w:pPr>
        <w:pStyle w:val="Bulletslevel1"/>
        <w:numPr>
          <w:ilvl w:val="1"/>
          <w:numId w:val="72"/>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A78AB">
      <w:pPr>
        <w:pStyle w:val="Default"/>
        <w:numPr>
          <w:ilvl w:val="1"/>
          <w:numId w:val="72"/>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lastRenderedPageBreak/>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w:t>
      </w:r>
      <w:r w:rsidRPr="00293A94">
        <w:rPr>
          <w:rFonts w:ascii="Arial" w:hAnsi="Arial" w:cs="Arial"/>
          <w:sz w:val="19"/>
          <w:szCs w:val="19"/>
          <w:lang w:val="sk-SK"/>
        </w:rPr>
        <w:lastRenderedPageBreak/>
        <w:t xml:space="preserve">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83"/>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A78AB">
      <w:pPr>
        <w:pStyle w:val="Default"/>
        <w:numPr>
          <w:ilvl w:val="0"/>
          <w:numId w:val="71"/>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A78AB">
      <w:pPr>
        <w:pStyle w:val="Default"/>
        <w:numPr>
          <w:ilvl w:val="0"/>
          <w:numId w:val="71"/>
        </w:numPr>
        <w:spacing w:before="120" w:after="120" w:line="288" w:lineRule="auto"/>
        <w:ind w:left="567" w:hanging="283"/>
        <w:jc w:val="both"/>
        <w:rPr>
          <w:lang w:val="sk-SK"/>
        </w:rPr>
      </w:pPr>
      <w:r w:rsidRPr="0073389C">
        <w:rPr>
          <w:rFonts w:ascii="Arial" w:hAnsi="Arial" w:cs="Arial"/>
          <w:sz w:val="19"/>
          <w:szCs w:val="19"/>
          <w:lang w:val="sk-SK"/>
        </w:rPr>
        <w:lastRenderedPageBreak/>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A78AB">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A78AB">
      <w:pPr>
        <w:pStyle w:val="Default"/>
        <w:numPr>
          <w:ilvl w:val="0"/>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A78AB">
      <w:pPr>
        <w:pStyle w:val="Default"/>
        <w:numPr>
          <w:ilvl w:val="2"/>
          <w:numId w:val="63"/>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9A78AB">
      <w:pPr>
        <w:pStyle w:val="Default"/>
        <w:numPr>
          <w:ilvl w:val="1"/>
          <w:numId w:val="6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A78AB">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A78AB">
      <w:pPr>
        <w:pStyle w:val="Default"/>
        <w:numPr>
          <w:ilvl w:val="0"/>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4"/>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A78AB">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9A78AB">
      <w:pPr>
        <w:pStyle w:val="Normlnywebov"/>
        <w:numPr>
          <w:ilvl w:val="0"/>
          <w:numId w:val="74"/>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9A78AB">
      <w:pPr>
        <w:pStyle w:val="Odsekzoznamu"/>
        <w:numPr>
          <w:ilvl w:val="0"/>
          <w:numId w:val="74"/>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A78AB">
      <w:pPr>
        <w:pStyle w:val="Default"/>
        <w:numPr>
          <w:ilvl w:val="1"/>
          <w:numId w:val="7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A78AB">
      <w:pPr>
        <w:pStyle w:val="Default"/>
        <w:numPr>
          <w:ilvl w:val="1"/>
          <w:numId w:val="7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6"/>
      </w:r>
      <w:r w:rsidRPr="0073389C">
        <w:rPr>
          <w:rFonts w:ascii="Arial" w:hAnsi="Arial" w:cs="Arial"/>
          <w:b/>
          <w:bCs/>
          <w:position w:val="8"/>
          <w:sz w:val="19"/>
          <w:szCs w:val="19"/>
          <w:vertAlign w:val="superscript"/>
          <w:lang w:val="sk-SK"/>
        </w:rPr>
        <w:t xml:space="preserve"> </w:t>
      </w:r>
    </w:p>
    <w:p w14:paraId="7A55D209" w14:textId="1446C6B3" w:rsidR="009D7F63"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7"/>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A78AB">
      <w:pPr>
        <w:pStyle w:val="Default"/>
        <w:numPr>
          <w:ilvl w:val="0"/>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A78AB">
      <w:pPr>
        <w:pStyle w:val="Zoznamsodrkami"/>
        <w:numPr>
          <w:ilvl w:val="0"/>
          <w:numId w:val="79"/>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A78AB">
      <w:pPr>
        <w:pStyle w:val="Default"/>
        <w:numPr>
          <w:ilvl w:val="1"/>
          <w:numId w:val="64"/>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A78AB">
      <w:pPr>
        <w:numPr>
          <w:ilvl w:val="0"/>
          <w:numId w:val="97"/>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A78AB">
      <w:pPr>
        <w:numPr>
          <w:ilvl w:val="0"/>
          <w:numId w:val="97"/>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CF5FE9">
        <w:rPr>
          <w:rFonts w:cs="Arial"/>
          <w:b/>
          <w:szCs w:val="18"/>
        </w:rPr>
        <w:lastRenderedPageBreak/>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4603A234"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E8012F">
      <w:pPr>
        <w:numPr>
          <w:ilvl w:val="0"/>
          <w:numId w:val="113"/>
        </w:numPr>
        <w:autoSpaceDE w:val="0"/>
        <w:autoSpaceDN w:val="0"/>
        <w:adjustRightInd w:val="0"/>
        <w:spacing w:before="120" w:after="120" w:line="288" w:lineRule="auto"/>
        <w:jc w:val="both"/>
      </w:pPr>
      <w:r>
        <w:lastRenderedPageBreak/>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E8012F">
      <w:pPr>
        <w:numPr>
          <w:ilvl w:val="0"/>
          <w:numId w:val="113"/>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E8012F">
      <w:pPr>
        <w:numPr>
          <w:ilvl w:val="0"/>
          <w:numId w:val="113"/>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lastRenderedPageBreak/>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71590BA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738F16D2"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8"/>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89"/>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lastRenderedPageBreak/>
        <w:t>Plán obstarávaní</w:t>
      </w:r>
      <w:bookmarkEnd w:id="127"/>
      <w:bookmarkEnd w:id="128"/>
      <w:bookmarkEnd w:id="129"/>
      <w:bookmarkEnd w:id="130"/>
    </w:p>
    <w:p w14:paraId="7A55D249" w14:textId="59D37E0B"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xml:space="preserve">) – vyplývajúcich zo schváleného projektu, t. j. všetkých rozpočtových položiek. </w:t>
      </w:r>
      <w:r w:rsidR="00A737D2" w:rsidRPr="00A737D2">
        <w:t>Pri vypracovaní plánu obstarávaní je prijímateľ povinný zohľadniť aj výdavky financované z iných verejných zdrojov alebo zdrojov EÚ a na tovary/služby/práce obstarávané v rámci iných projektov financovaných z iných zdrojov EÚ.</w:t>
      </w:r>
      <w:r w:rsidR="00A737D2">
        <w:t xml:space="preserve"> </w:t>
      </w:r>
      <w:r w:rsidRPr="0073389C">
        <w:t>Tento plán obsahuje minimálne tieto údaje:</w:t>
      </w:r>
    </w:p>
    <w:p w14:paraId="7A55D24A" w14:textId="77777777" w:rsidR="009D7F63" w:rsidRPr="0073389C" w:rsidRDefault="009D7F63" w:rsidP="009A78AB">
      <w:pPr>
        <w:numPr>
          <w:ilvl w:val="0"/>
          <w:numId w:val="59"/>
        </w:numPr>
        <w:spacing w:before="120" w:after="120" w:line="288" w:lineRule="auto"/>
      </w:pPr>
      <w:r w:rsidRPr="0073389C">
        <w:t>názov predmetu zákazky,</w:t>
      </w:r>
    </w:p>
    <w:p w14:paraId="7A55D24B" w14:textId="1DCA36DC" w:rsidR="009D7F63" w:rsidRPr="0073389C" w:rsidRDefault="009D7F63" w:rsidP="009A78AB">
      <w:pPr>
        <w:numPr>
          <w:ilvl w:val="0"/>
          <w:numId w:val="59"/>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9A78AB">
      <w:pPr>
        <w:numPr>
          <w:ilvl w:val="0"/>
          <w:numId w:val="59"/>
        </w:numPr>
        <w:spacing w:before="120" w:after="120" w:line="288" w:lineRule="auto"/>
      </w:pPr>
      <w:r w:rsidRPr="0073389C">
        <w:t>stručný opis predmetu zákazky,</w:t>
      </w:r>
    </w:p>
    <w:p w14:paraId="02C288E9"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členenie zákaziek podľa predpokladanej hodnoty,</w:t>
      </w:r>
    </w:p>
    <w:p w14:paraId="7C0B066B"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9A78AB">
      <w:pPr>
        <w:numPr>
          <w:ilvl w:val="0"/>
          <w:numId w:val="59"/>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9A78AB">
      <w:pPr>
        <w:numPr>
          <w:ilvl w:val="0"/>
          <w:numId w:val="59"/>
        </w:numPr>
        <w:spacing w:before="120" w:after="120" w:line="288" w:lineRule="auto"/>
      </w:pPr>
      <w:r w:rsidRPr="0073389C">
        <w:t>plánované výdavky v rozpočte projektu za celé obdobie trvania projektu,</w:t>
      </w:r>
    </w:p>
    <w:p w14:paraId="7A55D24E" w14:textId="77777777" w:rsidR="009D7F63" w:rsidRPr="0073389C" w:rsidRDefault="009D7F63" w:rsidP="009A78AB">
      <w:pPr>
        <w:numPr>
          <w:ilvl w:val="0"/>
          <w:numId w:val="59"/>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9A78AB">
      <w:pPr>
        <w:numPr>
          <w:ilvl w:val="0"/>
          <w:numId w:val="59"/>
        </w:numPr>
        <w:spacing w:before="120" w:after="120" w:line="288" w:lineRule="auto"/>
      </w:pPr>
      <w:r w:rsidRPr="0073389C">
        <w:t>predpokladaný termín vyhlásenia verejného obstarávania (ďalej len „VO“),</w:t>
      </w:r>
    </w:p>
    <w:p w14:paraId="7A55D253" w14:textId="02102278" w:rsidR="009D7F63" w:rsidRPr="0073389C" w:rsidRDefault="009D7F63" w:rsidP="009A78AB">
      <w:pPr>
        <w:numPr>
          <w:ilvl w:val="0"/>
          <w:numId w:val="59"/>
        </w:numPr>
        <w:spacing w:before="120" w:after="120" w:line="288" w:lineRule="auto"/>
      </w:pPr>
      <w:r w:rsidRPr="0073389C">
        <w:t>trvanie zmluvy  v</w:t>
      </w:r>
      <w:r w:rsidR="008E08AF">
        <w:t> </w:t>
      </w:r>
      <w:r w:rsidRPr="0073389C">
        <w:t>mesiacoch</w:t>
      </w:r>
      <w:r w:rsidR="008E08AF">
        <w:t>,</w:t>
      </w:r>
    </w:p>
    <w:p w14:paraId="7A55D254" w14:textId="718EFFB3" w:rsidR="009D7F63" w:rsidRPr="0073389C" w:rsidRDefault="009D7F63" w:rsidP="009A78AB">
      <w:pPr>
        <w:numPr>
          <w:ilvl w:val="0"/>
          <w:numId w:val="59"/>
        </w:numPr>
        <w:spacing w:before="120" w:after="120" w:line="288" w:lineRule="auto"/>
      </w:pPr>
      <w:r w:rsidRPr="0073389C">
        <w:t>postup pri obstarávaní zákaziek, na ktoré sa podľa § 1 ZVO nevzťahujú ustanovenia ZVO tak, aby boli dodržané základné princípy VO.</w:t>
      </w:r>
    </w:p>
    <w:p w14:paraId="54D4F3CE" w14:textId="780D3F48"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00A737D2">
        <w:rPr>
          <w:b/>
        </w:rPr>
        <w:t xml:space="preserve"> </w:t>
      </w:r>
      <w:r w:rsidR="00A737D2" w:rsidRPr="00E8012F">
        <w:t>financovaného z NFP predmetného projektu</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15F45796" w:rsidR="009D7F63" w:rsidRPr="0073389C" w:rsidRDefault="00C03581" w:rsidP="009D7F63">
      <w:pPr>
        <w:spacing w:before="120" w:after="120" w:line="288" w:lineRule="auto"/>
        <w:jc w:val="both"/>
      </w:pPr>
      <w:r>
        <w:rPr>
          <w:b/>
        </w:rPr>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w:t>
      </w:r>
      <w:r w:rsidR="00831FF3">
        <w:rPr>
          <w:u w:val="single"/>
        </w:rPr>
        <w:t>zákaziek s nízkou hodnotou</w:t>
      </w:r>
      <w:r w:rsidR="009D7F63" w:rsidRPr="0073389C">
        <w:rPr>
          <w:u w:val="single"/>
        </w:rPr>
        <w:t>)</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0"/>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lastRenderedPageBreak/>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1"/>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14:paraId="7A55D278" w14:textId="1C3D640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A78AB">
      <w:pPr>
        <w:pStyle w:val="Odsekzoznamu"/>
        <w:numPr>
          <w:ilvl w:val="0"/>
          <w:numId w:val="56"/>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9A78AB">
      <w:pPr>
        <w:pStyle w:val="Odsekzoznamu"/>
        <w:numPr>
          <w:ilvl w:val="0"/>
          <w:numId w:val="56"/>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7AF18C7B" w:rsidR="009D7F63" w:rsidRPr="0073389C" w:rsidRDefault="009D7F63" w:rsidP="009A78AB">
      <w:pPr>
        <w:pStyle w:val="Odsekzoznamu"/>
        <w:numPr>
          <w:ilvl w:val="0"/>
          <w:numId w:val="56"/>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Poskytovateľ neoboznámi Prijímateľa (nezašle návrh správy z kontroly, </w:t>
      </w:r>
      <w:r w:rsidRPr="00DA7632">
        <w:rPr>
          <w:rFonts w:ascii="Arial" w:hAnsi="Arial" w:cs="Arial"/>
          <w:b w:val="0"/>
          <w:sz w:val="19"/>
          <w:szCs w:val="19"/>
        </w:rPr>
        <w:lastRenderedPageBreak/>
        <w:t>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10);</w:t>
      </w:r>
    </w:p>
    <w:p w14:paraId="0516C638"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prijímateľa týkajúce sa konfliktu záujmov (vzor príloha č. 9) (netýka sa prvej ex-ante kontroly)</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9A78AB">
      <w:pPr>
        <w:pStyle w:val="Bulletslevel2"/>
        <w:numPr>
          <w:ilvl w:val="0"/>
          <w:numId w:val="87"/>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9A78AB">
      <w:pPr>
        <w:pStyle w:val="Bulletslevel2"/>
        <w:numPr>
          <w:ilvl w:val="0"/>
          <w:numId w:val="87"/>
        </w:numPr>
        <w:rPr>
          <w:rFonts w:cs="Arial"/>
          <w:lang w:val="sk-SK"/>
        </w:rPr>
      </w:pPr>
      <w:r w:rsidRPr="00144232">
        <w:rPr>
          <w:rFonts w:cs="Arial"/>
          <w:lang w:val="sk-SK"/>
        </w:rPr>
        <w:t>opis predmetu zákazky;</w:t>
      </w:r>
    </w:p>
    <w:p w14:paraId="01E258EB" w14:textId="77777777" w:rsidR="00EF2628" w:rsidRPr="00144232" w:rsidRDefault="00EF2628" w:rsidP="009A78AB">
      <w:pPr>
        <w:pStyle w:val="Bulletslevel2"/>
        <w:numPr>
          <w:ilvl w:val="0"/>
          <w:numId w:val="87"/>
        </w:numPr>
        <w:rPr>
          <w:rFonts w:cs="Arial"/>
          <w:lang w:val="sk-SK"/>
        </w:rPr>
      </w:pPr>
      <w:r w:rsidRPr="00144232">
        <w:rPr>
          <w:rFonts w:cs="Arial"/>
          <w:lang w:val="sk-SK"/>
        </w:rPr>
        <w:t>prípadné objednávkové atribúty;</w:t>
      </w:r>
    </w:p>
    <w:p w14:paraId="6379F042" w14:textId="77777777" w:rsidR="00EF2628" w:rsidRPr="00144232" w:rsidRDefault="00EF2628" w:rsidP="009A78AB">
      <w:pPr>
        <w:pStyle w:val="Bulletslevel2"/>
        <w:numPr>
          <w:ilvl w:val="0"/>
          <w:numId w:val="87"/>
        </w:numPr>
        <w:rPr>
          <w:rFonts w:cs="Arial"/>
          <w:lang w:val="sk-SK"/>
        </w:rPr>
      </w:pPr>
      <w:r w:rsidRPr="00144232">
        <w:rPr>
          <w:rFonts w:cs="Arial"/>
          <w:lang w:val="sk-SK"/>
        </w:rPr>
        <w:t>automaticky vygenerovanú zmluvu, ktorá je výsledkom VO;</w:t>
      </w:r>
    </w:p>
    <w:p w14:paraId="773F5827" w14:textId="77777777" w:rsid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P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w:t>
      </w:r>
      <w:r w:rsidRPr="0073389C">
        <w:rPr>
          <w:color w:val="000000" w:themeColor="text1"/>
        </w:rPr>
        <w:lastRenderedPageBreak/>
        <w:t>(viď.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2"/>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C477FA">
        <w:rPr>
          <w:lang w:val="sk-SK"/>
        </w:rPr>
        <w:lastRenderedPageBreak/>
        <w:t xml:space="preserve">Typy </w:t>
      </w:r>
      <w:r w:rsidRPr="0073389C">
        <w:rPr>
          <w:lang w:val="sk-SK"/>
        </w:rPr>
        <w:t>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2224A7C0"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3B30748A"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w:t>
      </w:r>
      <w:r w:rsidR="00C064D9">
        <w:t>s nízk</w:t>
      </w:r>
      <w:r w:rsidR="00E322E9">
        <w:t>ymi</w:t>
      </w:r>
      <w:r w:rsidR="00C064D9">
        <w:t xml:space="preserve"> hodnot</w:t>
      </w:r>
      <w:r w:rsidR="00E322E9">
        <w:t>ami podľa § 117 ZVO</w:t>
      </w:r>
      <w:r w:rsidRPr="008D5848">
        <w:t xml:space="preserve">;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2A44826F" w14:textId="77777777"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t xml:space="preserve">podlimitných zákazkách realizovaným postupom podľa § </w:t>
      </w:r>
      <w:r w:rsidR="00C064D9">
        <w:t>113</w:t>
      </w:r>
      <w:r w:rsidR="00C064D9" w:rsidRPr="008D5848">
        <w:t xml:space="preserve"> </w:t>
      </w:r>
      <w:r w:rsidRPr="008D5848">
        <w:t xml:space="preserve">až </w:t>
      </w:r>
      <w:r w:rsidR="00C064D9">
        <w:t>116</w:t>
      </w:r>
      <w:r w:rsidR="00C064D9" w:rsidRPr="008D5848">
        <w:t xml:space="preserve"> </w:t>
      </w:r>
      <w:r w:rsidRPr="008D5848">
        <w:t>ZVO</w:t>
      </w:r>
      <w:r w:rsidR="00E322E9">
        <w:t xml:space="preserve">, </w:t>
      </w:r>
      <w:r w:rsidR="00E322E9" w:rsidRPr="00E322E9">
        <w:t>okrem podlimitných zákaziek pri službách uvedených v prílohe č. 1 ZVO (sociálne služby a iné osobitné služby)</w:t>
      </w:r>
      <w:r w:rsidR="00E322E9">
        <w:t xml:space="preserve">; </w:t>
      </w:r>
    </w:p>
    <w:p w14:paraId="0CECE541" w14:textId="214C9AAB" w:rsidR="00C7417C" w:rsidRPr="008D5848" w:rsidRDefault="00E322E9" w:rsidP="00E8012F">
      <w:pPr>
        <w:pStyle w:val="Odsekzoznamu"/>
        <w:numPr>
          <w:ilvl w:val="0"/>
          <w:numId w:val="115"/>
        </w:numPr>
        <w:pBdr>
          <w:top w:val="single" w:sz="4" w:space="1" w:color="auto"/>
          <w:left w:val="single" w:sz="4" w:space="4" w:color="auto"/>
          <w:bottom w:val="single" w:sz="4" w:space="1" w:color="auto"/>
          <w:right w:val="single" w:sz="4" w:space="4" w:color="auto"/>
        </w:pBdr>
        <w:shd w:val="clear" w:color="auto" w:fill="00A1DE"/>
        <w:spacing w:line="276" w:lineRule="auto"/>
        <w:ind w:hanging="720"/>
        <w:jc w:val="both"/>
      </w:pPr>
      <w:r w:rsidRPr="00E322E9">
        <w:t>nadlimitných zákazkách zadávaných centrálnou obstarávacou organizáciou podľa § 15 ods. 2 ZVO</w:t>
      </w:r>
      <w:r w:rsidR="00C7417C" w:rsidRPr="008D5848">
        <w:t>.</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lastRenderedPageBreak/>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lastRenderedPageBreak/>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 xml:space="preserve">do 20 pracovných dní odo dňa predloženia </w:t>
      </w:r>
      <w:r w:rsidRPr="0073389C">
        <w:rPr>
          <w:b/>
        </w:rPr>
        <w:lastRenderedPageBreak/>
        <w:t>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77777777" w:rsidR="007B2419" w:rsidRPr="007B2419" w:rsidRDefault="007B2419" w:rsidP="007B2419">
      <w:pPr>
        <w:spacing w:before="120" w:after="120" w:line="288" w:lineRule="auto"/>
        <w:jc w:val="both"/>
      </w:pPr>
      <w:r w:rsidRPr="007B2419">
        <w:lastRenderedPageBreak/>
        <w:t>Ak poskytovateľ zistí nedostatky, ktoré je možné postupmi v zmysle ZVO odstrániť (napr. opätovné vyhodnotenie podmienok účasti alebo ponúk), vyzve prijímateľa na zaslanie podnetu na ÚVO podľa § 169 ods. 1 písm. b) v spojení s § 169 ods. 2 ZVO.</w:t>
      </w:r>
    </w:p>
    <w:p w14:paraId="00489163" w14:textId="5D25E747" w:rsidR="007B2419" w:rsidRPr="007B2419" w:rsidRDefault="007B2419" w:rsidP="007B2419">
      <w:pPr>
        <w:spacing w:before="120" w:after="120" w:line="288" w:lineRule="auto"/>
        <w:jc w:val="both"/>
      </w:pPr>
      <w:r w:rsidRPr="007B2419">
        <w:t>Po doručení právoplatného rozhodnutia ÚVO v predmetnej veci, poskyto</w:t>
      </w:r>
      <w:r w:rsidR="007F4E20">
        <w:t>vateľ zašle prijímateľovi návrh</w:t>
      </w:r>
      <w:r w:rsidRPr="007B2419">
        <w:t xml:space="preserve"> správy. </w:t>
      </w:r>
    </w:p>
    <w:p w14:paraId="7AFE249B" w14:textId="77777777" w:rsidR="007B2419" w:rsidRPr="007B2419" w:rsidRDefault="007B2419" w:rsidP="007B2419">
      <w:pPr>
        <w:spacing w:before="120" w:after="120" w:line="288" w:lineRule="auto"/>
        <w:jc w:val="both"/>
      </w:pPr>
      <w:r w:rsidRPr="007B2419">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návrh správy 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14:paraId="226D442F" w14:textId="5E35C9EB" w:rsidR="00D1430A" w:rsidRDefault="00D1430A" w:rsidP="00BF23E3">
      <w:pPr>
        <w:spacing w:before="120" w:after="120" w:line="288" w:lineRule="auto"/>
        <w:jc w:val="both"/>
      </w:pPr>
    </w:p>
    <w:p w14:paraId="40B8DECE" w14:textId="77777777" w:rsidR="009F4290" w:rsidRPr="0073389C" w:rsidRDefault="009F4290" w:rsidP="009D7F63">
      <w:pPr>
        <w:spacing w:before="120" w:after="120" w:line="288" w:lineRule="auto"/>
        <w:jc w:val="both"/>
      </w:pP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 xml:space="preserve">po podpise zmluvy s úspešným uchádzačom, pričom táto zmluva je už platná a </w:t>
      </w:r>
      <w:r w:rsidRPr="0073389C">
        <w:rPr>
          <w:rFonts w:ascii="Arial" w:hAnsi="Arial" w:cs="Arial"/>
          <w:b/>
          <w:sz w:val="19"/>
          <w:szCs w:val="19"/>
          <w:lang w:val="sk-SK"/>
        </w:rPr>
        <w:lastRenderedPageBreak/>
        <w:t>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3"/>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4"/>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lastRenderedPageBreak/>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postupuje v zmysle metodického pokynu CKO č. 5</w:t>
      </w:r>
      <w:r w:rsidRPr="0073389C">
        <w:rPr>
          <w:rStyle w:val="Odkaznapoznmkupodiarou"/>
          <w:rFonts w:cs="Arial"/>
          <w:sz w:val="19"/>
          <w:szCs w:val="19"/>
          <w:lang w:val="sk-SK"/>
        </w:rPr>
        <w:footnoteReference w:id="95"/>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6"/>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7"/>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lastRenderedPageBreak/>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8"/>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lastRenderedPageBreak/>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7697CDBF" w:rsidR="009D7F63" w:rsidRPr="0073389C" w:rsidRDefault="009D7F63" w:rsidP="009D7F63">
      <w:pPr>
        <w:spacing w:before="120" w:after="120" w:line="288" w:lineRule="auto"/>
        <w:rPr>
          <w:b/>
        </w:rPr>
      </w:pPr>
      <w:r w:rsidRPr="0073389C">
        <w:rPr>
          <w:b/>
        </w:rPr>
        <w:t>f) Kontrola dodatkov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99"/>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w:t>
      </w:r>
      <w:r w:rsidRPr="00963E0D">
        <w:rPr>
          <w:rFonts w:cs="Arial"/>
          <w:szCs w:val="19"/>
        </w:rPr>
        <w:lastRenderedPageBreak/>
        <w:t>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t>g)  Kontrola verejného obstarávania, v rámci ktorého viacerí prijímatelia nadobúdajú tovary, práce 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xml:space="preserve">, pričom toto nadobúdanie, resp. obstarávanie sa týka toho istého </w:t>
      </w:r>
      <w:r w:rsidRPr="00963E0D">
        <w:rPr>
          <w:rFonts w:cs="Arial"/>
          <w:szCs w:val="19"/>
        </w:rPr>
        <w:lastRenderedPageBreak/>
        <w:t>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15F35D5"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 xml:space="preserve">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w:t>
      </w:r>
      <w:r w:rsidRPr="00AE218A">
        <w:rPr>
          <w:rFonts w:cs="Arial"/>
          <w:szCs w:val="19"/>
        </w:rPr>
        <w:lastRenderedPageBreak/>
        <w:t>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17E530C"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w:t>
      </w:r>
      <w:r w:rsidR="00D519DF">
        <w:rPr>
          <w:rFonts w:cs="Arial"/>
          <w:szCs w:val="19"/>
        </w:rPr>
        <w:t>finančnej opravy</w:t>
      </w:r>
      <w:r w:rsidRPr="00AE218A">
        <w:rPr>
          <w:rFonts w:cs="Arial"/>
          <w:szCs w:val="19"/>
        </w:rPr>
        <w:t xml:space="preserve"> bude rovná alebo vyššia ako 20 000,- EUR. </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6BA5CB0F"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149C386A"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w:t>
      </w:r>
      <w:r w:rsidRPr="00017289">
        <w:rPr>
          <w:rFonts w:cs="Arial"/>
          <w:szCs w:val="19"/>
        </w:rPr>
        <w:t xml:space="preserve">vykoná opätovnú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482CF999"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 xml:space="preserve">kontrolu VO. </w:t>
      </w:r>
    </w:p>
    <w:p w14:paraId="7A55D324" w14:textId="4EE350F4"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0"/>
      </w:r>
      <w:r w:rsidRPr="0073389C">
        <w:t xml:space="preserve"> vrátenie poskytnutého príspevku resp. jeho časti.</w:t>
      </w:r>
    </w:p>
    <w:p w14:paraId="7A55D325" w14:textId="42A965C1"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EC2C50D"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 § 41 ods. 2 zákona o príspevku z EŠIF podá podnet na vykonanie kontroly VO na ÚVO (v prípade, ak predmetné VO nebolo doposiaľ predmetom kontroly ÚVO). </w:t>
      </w:r>
    </w:p>
    <w:p w14:paraId="7A55D329" w14:textId="5F23D146"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6047A220"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6A534D94"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 vykoná opätovnú </w:t>
      </w:r>
      <w:r w:rsidR="00E911B7">
        <w:rPr>
          <w:rFonts w:cs="Arial"/>
          <w:szCs w:val="19"/>
        </w:rPr>
        <w:t>finančnú</w:t>
      </w:r>
      <w:r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lastRenderedPageBreak/>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1FC1EBFE"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lastRenderedPageBreak/>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A78AB">
      <w:pPr>
        <w:numPr>
          <w:ilvl w:val="0"/>
          <w:numId w:val="90"/>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9702D54"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2C5B49">
        <w:rPr>
          <w:rFonts w:cs="Arial"/>
          <w:szCs w:val="19"/>
          <w:u w:val="single"/>
        </w:rPr>
        <w:t>5</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lastRenderedPageBreak/>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lastRenderedPageBreak/>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CA8D282"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RO pre OP EVS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w:t>
      </w:r>
      <w:r w:rsidRPr="00703E20">
        <w:rPr>
          <w:rFonts w:cs="Arial"/>
          <w:szCs w:val="19"/>
          <w:lang w:eastAsia="x-none"/>
        </w:rPr>
        <w:lastRenderedPageBreak/>
        <w:t>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lastRenderedPageBreak/>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25D6419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lastRenderedPageBreak/>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46708DFF" w:rsidR="00A57E12" w:rsidRDefault="00A57E12" w:rsidP="00A57E12">
      <w:pPr>
        <w:tabs>
          <w:tab w:val="left" w:pos="1014"/>
        </w:tabs>
        <w:spacing w:before="120" w:after="120" w:line="288" w:lineRule="auto"/>
        <w:jc w:val="both"/>
      </w:pPr>
      <w:r>
        <w:t xml:space="preserve">Rámcové dohody sa podľa § </w:t>
      </w:r>
      <w:r w:rsidR="0058112B">
        <w:t xml:space="preserve">83 </w:t>
      </w:r>
      <w:r>
        <w:t xml:space="preserve">ods. 5 ZVO delia na rámcové dohody bez opätovného otvárania súťaže (tzv. uzavreté rámcové dohody) a s opätovným otváraním súťaže (tzv. otvorené rámcové dohody). </w:t>
      </w:r>
    </w:p>
    <w:p w14:paraId="2CFD5EE8" w14:textId="77777777" w:rsidR="00C12A2D" w:rsidRPr="00C12A2D" w:rsidRDefault="00C12A2D" w:rsidP="00C12A2D">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lastRenderedPageBreak/>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573869C3"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rsidR="0058112B">
        <w:t>43 ods. 13 až 15</w:t>
      </w:r>
      <w:r w:rsidR="0058112B" w:rsidRPr="00697E52">
        <w:t xml:space="preserve"> </w:t>
      </w:r>
      <w:r w:rsidRPr="00697E52">
        <w:t xml:space="preserve">ZVO a § </w:t>
      </w:r>
      <w:r w:rsidR="0058112B">
        <w:t xml:space="preserve">83 </w:t>
      </w:r>
      <w:r w:rsidRPr="00697E52">
        <w:t>ZVO (najmä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9A78AB">
      <w:pPr>
        <w:pStyle w:val="Odsekzoznamu"/>
        <w:numPr>
          <w:ilvl w:val="0"/>
          <w:numId w:val="94"/>
        </w:numPr>
        <w:spacing w:before="120" w:after="120" w:line="288" w:lineRule="auto"/>
        <w:jc w:val="both"/>
        <w:rPr>
          <w:b/>
        </w:rPr>
      </w:pPr>
      <w:r w:rsidRPr="00697E52">
        <w:rPr>
          <w:b/>
        </w:rPr>
        <w:t>Uzavreté rámcové dohody</w:t>
      </w:r>
    </w:p>
    <w:p w14:paraId="5B1A3DA0" w14:textId="77777777" w:rsidR="005F5EA3" w:rsidRDefault="005F5EA3" w:rsidP="00A57E12">
      <w:pPr>
        <w:tabs>
          <w:tab w:val="left" w:pos="1014"/>
        </w:tabs>
        <w:spacing w:before="120" w:after="120" w:line="288" w:lineRule="auto"/>
        <w:jc w:val="both"/>
        <w:rPr>
          <w:b/>
        </w:rPr>
      </w:pPr>
    </w:p>
    <w:p w14:paraId="2A4EF34F" w14:textId="77777777" w:rsidR="00A57E12" w:rsidRPr="005F5EA3" w:rsidRDefault="00A57E12" w:rsidP="00A57E12">
      <w:pPr>
        <w:tabs>
          <w:tab w:val="left" w:pos="1014"/>
        </w:tabs>
        <w:spacing w:before="120" w:after="120" w:line="288" w:lineRule="auto"/>
        <w:jc w:val="both"/>
        <w:rPr>
          <w:b/>
        </w:rPr>
      </w:pPr>
      <w:r w:rsidRPr="005F5EA3">
        <w:rPr>
          <w:b/>
        </w:rP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lastRenderedPageBreak/>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9A78AB">
      <w:pPr>
        <w:pStyle w:val="Odsekzoznamu"/>
        <w:numPr>
          <w:ilvl w:val="0"/>
          <w:numId w:val="95"/>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9A78AB">
      <w:pPr>
        <w:pStyle w:val="Odsekzoznamu"/>
        <w:numPr>
          <w:ilvl w:val="0"/>
          <w:numId w:val="94"/>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s opätovným otváraním súťaže a </w:t>
      </w:r>
    </w:p>
    <w:p w14:paraId="551A512E" w14:textId="65228796"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lastRenderedPageBreak/>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A78AB">
      <w:pPr>
        <w:pStyle w:val="Odsekzoznamu"/>
        <w:numPr>
          <w:ilvl w:val="0"/>
          <w:numId w:val="44"/>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A55D36C" w14:textId="1ECCBFD5" w:rsidR="009D7F63" w:rsidRPr="0073389C" w:rsidRDefault="009D7F63" w:rsidP="009D7F63">
      <w:pPr>
        <w:tabs>
          <w:tab w:val="left" w:pos="1014"/>
        </w:tabs>
        <w:spacing w:before="120" w:after="120" w:line="288" w:lineRule="auto"/>
        <w:jc w:val="both"/>
      </w:pPr>
      <w:r w:rsidRPr="0073389C">
        <w:lastRenderedPageBreak/>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72BD26E"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 xml:space="preserve">Pri zákazkách, v ktorých ponuka úspešného uchádzača je rovná alebo vyššia ako 5 000 EUR bez DPH, predkladá prijímateľ na druhú ex-ante kontrolu dokumentáciu, ktorá dokladuje vykonanie prieskumu trhu a </w:t>
      </w:r>
      <w:r w:rsidRPr="00D642ED">
        <w:lastRenderedPageBreak/>
        <w:t>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6908E217"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(„in-house contract“) predstavuje zákazku zadávanú medzi dvoma verejnými obstarávateľmi (alebo dvoma obstarávateľmi), pri ktorej verejný obstarávateľ využíva pri výkone zverených úloh vo verejnom záujme vlastné,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lastRenderedPageBreak/>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w:t>
      </w:r>
      <w:r w:rsidRPr="0073389C">
        <w:lastRenderedPageBreak/>
        <w:t xml:space="preserve">na otvorenom trhu (napr. prostredníctvom dokladov uvedených v MP CKO č. 12), preukázanie výšky nákladov v zmysle MP CKO č. 12, </w:t>
      </w:r>
    </w:p>
    <w:p w14:paraId="7A55D3A3" w14:textId="1271B38D"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lastRenderedPageBreak/>
        <w:t>užívateľ (osoba, ktorej prijímateľ alebo partner poskytuje príspevok);</w:t>
      </w:r>
    </w:p>
    <w:p w14:paraId="7A55D3BC" w14:textId="026DC26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1"/>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2"/>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3"/>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4"/>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A78AB">
            <w:pPr>
              <w:pStyle w:val="Odsekzoznamu"/>
              <w:numPr>
                <w:ilvl w:val="0"/>
                <w:numId w:val="46"/>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lastRenderedPageBreak/>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771817">
            <w:pPr>
              <w:pStyle w:val="Odsekzoznamu"/>
              <w:keepNext/>
              <w:keepLines/>
              <w:numPr>
                <w:ilvl w:val="0"/>
                <w:numId w:val="47"/>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771817">
            <w:pPr>
              <w:pStyle w:val="Odsekzoznamu"/>
              <w:keepNext/>
              <w:keepLines/>
              <w:numPr>
                <w:ilvl w:val="0"/>
                <w:numId w:val="47"/>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napríklad cieľovej skupine, ktorej osoby sa školení, resp. dodávky služieb mali zúčastniť, ale z rôznych dôvodov sa na školení, resp. na dodávke služieb </w:t>
            </w:r>
            <w:r w:rsidRPr="0073389C">
              <w:lastRenderedPageBreak/>
              <w:t>nezúčastnili (napríklad namiesto školení vykonávali závislú prácu pre zamestnávateľa)</w:t>
            </w:r>
          </w:p>
          <w:p w14:paraId="7A55D44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w:t>
      </w:r>
      <w:r w:rsidRPr="0073389C">
        <w:rPr>
          <w:color w:val="000000"/>
        </w:rPr>
        <w:lastRenderedPageBreak/>
        <w:t xml:space="preserve">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5"/>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7"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6154E5B8"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alebo finančnou kontrolou na mieste</w:t>
      </w:r>
      <w:r w:rsidR="009D7F63" w:rsidRPr="0073389C">
        <w:t xml:space="preserve"> a </w:t>
      </w:r>
      <w:r w:rsidRPr="0073389C">
        <w:t>zabezpečiť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zmluvou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0871FB65"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6855D6CD"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preveriť</w:t>
      </w:r>
      <w:r w:rsidR="009D7F63" w:rsidRPr="0073389C">
        <w:t xml:space="preserve">̌ </w:t>
      </w:r>
      <w:r w:rsidRPr="0073389C">
        <w:t>opodstatnenosť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171EFEB3"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dodávateľsko-odberateľské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výdavok je primeraný, t.j. zodpovedá obvyklým cenám v danom mieste a čase a zodpovedá 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w:t>
      </w:r>
      <w:r w:rsidRPr="00A11D9F">
        <w:rPr>
          <w:rFonts w:ascii="Arial" w:hAnsi="Arial" w:cs="Arial"/>
          <w:sz w:val="19"/>
          <w:szCs w:val="19"/>
          <w:lang w:val="sk-SK"/>
        </w:rPr>
        <w:lastRenderedPageBreak/>
        <w:t>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585E2F0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oprávnení v nevyhnutnom rozsahu za podmienok ustanovených v osobitných predpisoch: </w:t>
      </w:r>
    </w:p>
    <w:p w14:paraId="7A55D4C8" w14:textId="2E0FB4C2"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Pr>
          <w:rFonts w:cs="Arial"/>
          <w:color w:val="auto"/>
          <w:szCs w:val="19"/>
          <w:lang w:val="sk-SK" w:eastAsia="sk-SK"/>
        </w:rPr>
        <w:t xml:space="preserve"> a odoberať ich mimo priestorov kontrolovanej osoby, ak ich poskytnutiu nebráni osobitný predpis</w:t>
      </w:r>
      <w:r w:rsidRPr="0025055A">
        <w:rPr>
          <w:rFonts w:cs="Arial"/>
          <w:color w:val="auto"/>
          <w:szCs w:val="19"/>
          <w:lang w:val="sk-SK" w:eastAsia="sk-SK"/>
        </w:rPr>
        <w:t>,</w:t>
      </w:r>
      <w:r w:rsidR="009D7F63" w:rsidRPr="0073389C">
        <w:rPr>
          <w:rFonts w:cs="Arial"/>
          <w:szCs w:val="19"/>
          <w:lang w:val="sk-SK"/>
        </w:rPr>
        <w:t xml:space="preserve"> </w:t>
      </w:r>
    </w:p>
    <w:p w14:paraId="7A55D4C9" w14:textId="1F5A01ED"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o</w:t>
      </w:r>
      <w:r>
        <w:rPr>
          <w:rFonts w:cs="Arial"/>
          <w:color w:val="auto"/>
          <w:szCs w:val="19"/>
          <w:lang w:val="sk-SK" w:eastAsia="sk-SK"/>
        </w:rPr>
        <w:t>d</w:t>
      </w:r>
      <w:r w:rsidRPr="0025055A">
        <w:rPr>
          <w:rFonts w:cs="Arial"/>
          <w:color w:val="auto"/>
          <w:szCs w:val="19"/>
          <w:lang w:val="sk-SK" w:eastAsia="sk-SK"/>
        </w:rPr>
        <w:t> </w:t>
      </w:r>
      <w:r>
        <w:rPr>
          <w:rFonts w:cs="Arial"/>
          <w:color w:val="auto"/>
          <w:szCs w:val="19"/>
          <w:lang w:val="sk-SK" w:eastAsia="sk-SK"/>
        </w:rPr>
        <w:t>prijímateľa</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2F18941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Pr>
          <w:rFonts w:cs="Arial"/>
          <w:color w:val="auto"/>
          <w:szCs w:val="19"/>
          <w:lang w:val="sk-SK" w:eastAsia="sk-SK"/>
        </w:rPr>
        <w:t>prijímateľa</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povinní: </w:t>
      </w:r>
    </w:p>
    <w:p w14:paraId="7A55D4D1" w14:textId="7CA91CD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w:t>
      </w:r>
      <w:r w:rsidR="00FA0730">
        <w:rPr>
          <w:rFonts w:cs="Arial"/>
          <w:szCs w:val="19"/>
          <w:lang w:val="sk-SK"/>
        </w:rPr>
        <w:t xml:space="preserve">finančnej </w:t>
      </w:r>
      <w:r w:rsidRPr="0073389C">
        <w:rPr>
          <w:rFonts w:cs="Arial"/>
          <w:szCs w:val="19"/>
          <w:lang w:val="sk-SK"/>
        </w:rPr>
        <w:t xml:space="preserve">kontroly na mieste; ak by oznámením o začatí </w:t>
      </w:r>
      <w:r w:rsidR="00FA0730">
        <w:rPr>
          <w:rFonts w:cs="Arial"/>
          <w:szCs w:val="19"/>
          <w:lang w:val="sk-SK"/>
        </w:rPr>
        <w:t xml:space="preserve">finančnej </w:t>
      </w:r>
      <w:r w:rsidRPr="0073389C">
        <w:rPr>
          <w:rFonts w:cs="Arial"/>
          <w:szCs w:val="19"/>
          <w:lang w:val="sk-SK"/>
        </w:rPr>
        <w:t xml:space="preserve">kontroly na mieste mohlo dôjsť k zmareniu </w:t>
      </w:r>
      <w:r w:rsidR="00FA0730">
        <w:rPr>
          <w:rFonts w:cs="Arial"/>
          <w:szCs w:val="19"/>
          <w:lang w:val="sk-SK"/>
        </w:rPr>
        <w:t xml:space="preserve">finančnej </w:t>
      </w:r>
      <w:r w:rsidRPr="0073389C">
        <w:rPr>
          <w:rFonts w:cs="Arial"/>
          <w:szCs w:val="19"/>
          <w:lang w:val="sk-SK"/>
        </w:rPr>
        <w:t xml:space="preserve">kontroly na mieste, sú povinní oznámenie urobiť najneskôr pri začatí fyzického výkonu </w:t>
      </w:r>
      <w:r w:rsidR="00FA0730">
        <w:rPr>
          <w:rFonts w:cs="Arial"/>
          <w:szCs w:val="19"/>
          <w:lang w:val="sk-SK"/>
        </w:rPr>
        <w:t xml:space="preserve">finančnej </w:t>
      </w:r>
      <w:r w:rsidRPr="0073389C">
        <w:rPr>
          <w:rFonts w:cs="Arial"/>
          <w:szCs w:val="19"/>
          <w:lang w:val="sk-SK"/>
        </w:rPr>
        <w:t xml:space="preserve">kontroly na mieste. Oznámenie sa vykoná prostredníctvom oznámenia o začatí </w:t>
      </w:r>
      <w:r w:rsidR="00FA0730">
        <w:rPr>
          <w:rFonts w:cs="Arial"/>
          <w:szCs w:val="19"/>
          <w:lang w:val="sk-SK"/>
        </w:rPr>
        <w:t xml:space="preserve">finančnej </w:t>
      </w:r>
      <w:r w:rsidRPr="0073389C">
        <w:rPr>
          <w:rFonts w:cs="Arial"/>
          <w:szCs w:val="19"/>
          <w:lang w:val="sk-SK"/>
        </w:rPr>
        <w:t>kontroly na mieste</w:t>
      </w:r>
      <w:r w:rsidR="00BA2CE2">
        <w:rPr>
          <w:rFonts w:cs="Arial"/>
          <w:szCs w:val="19"/>
          <w:lang w:val="sk-SK"/>
        </w:rPr>
        <w:t>,</w:t>
      </w:r>
      <w:r w:rsidR="00BA2CE2" w:rsidRPr="0073389C">
        <w:rPr>
          <w:rFonts w:cs="Arial"/>
          <w:szCs w:val="19"/>
          <w:lang w:val="sk-SK"/>
        </w:rPr>
        <w:t xml:space="preserve"> </w:t>
      </w:r>
    </w:p>
    <w:p w14:paraId="7A55D4D2" w14:textId="5D36FD36"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FA0730">
        <w:rPr>
          <w:rFonts w:cs="Arial"/>
          <w:szCs w:val="19"/>
          <w:lang w:val="sk-SK"/>
        </w:rPr>
        <w:t xml:space="preserve">písomným </w:t>
      </w:r>
      <w:r w:rsidRPr="0073389C">
        <w:rPr>
          <w:rFonts w:cs="Arial"/>
          <w:szCs w:val="19"/>
          <w:lang w:val="sk-SK"/>
        </w:rPr>
        <w:t xml:space="preserve">poverením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umožniť 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0D8F5020"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 xml:space="preserve">súvisiacich s finančnou kontrolou na mieste </w:t>
      </w:r>
      <w:r w:rsidR="009D7F63" w:rsidRPr="0073389C">
        <w:rPr>
          <w:rFonts w:cs="Arial"/>
          <w:szCs w:val="19"/>
          <w:lang w:val="sk-SK"/>
        </w:rPr>
        <w:t>mimo priestorov prijímateľa alebo tretej osoby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zmluvou o NFP)</w:t>
      </w:r>
      <w:r w:rsidR="009D7F63" w:rsidRPr="0073389C">
        <w:rPr>
          <w:rFonts w:cs="Arial"/>
          <w:szCs w:val="19"/>
          <w:lang w:val="sk-SK"/>
        </w:rPr>
        <w:t xml:space="preserve">; tieto veci poskytovateľ vráti bezodkladne tomu, komu sa odobrali, ak nie sú potrebné na ďalší výkon </w:t>
      </w:r>
      <w:r w:rsidR="00303DE5">
        <w:rPr>
          <w:rFonts w:cs="Arial"/>
          <w:szCs w:val="19"/>
          <w:lang w:val="sk-SK"/>
        </w:rPr>
        <w:t xml:space="preserve">finančnej </w:t>
      </w:r>
      <w:r w:rsidR="009D7F63" w:rsidRPr="0073389C">
        <w:rPr>
          <w:rFonts w:cs="Arial"/>
          <w:szCs w:val="19"/>
          <w:lang w:val="sk-SK"/>
        </w:rPr>
        <w:t xml:space="preserve">kontroly na mieste alebo </w:t>
      </w:r>
      <w:r w:rsidR="00303DE5">
        <w:rPr>
          <w:rFonts w:cs="Arial"/>
          <w:szCs w:val="19"/>
          <w:lang w:val="sk-SK"/>
        </w:rPr>
        <w:t xml:space="preserve">ak nie sú potrebné na konanie podľa trestného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157844DB"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v</w:t>
      </w:r>
      <w:r w:rsidR="00303DE5">
        <w:rPr>
          <w:rFonts w:cs="Arial"/>
          <w:szCs w:val="19"/>
          <w:lang w:val="sk-SK"/>
        </w:rPr>
        <w:t> návrhu čiastkovej správy/</w:t>
      </w:r>
      <w:r w:rsidRPr="0073389C">
        <w:rPr>
          <w:rFonts w:cs="Arial"/>
          <w:szCs w:val="19"/>
          <w:lang w:val="sk-SK"/>
        </w:rPr>
        <w:t>návrhu správy</w:t>
      </w:r>
      <w:r w:rsidR="008545F0">
        <w:rPr>
          <w:rFonts w:cs="Arial"/>
          <w:szCs w:val="19"/>
          <w:lang w:val="sk-SK"/>
        </w:rPr>
        <w:t xml:space="preserve"> z kontroly na mieste</w:t>
      </w:r>
      <w:r w:rsidRPr="0073389C">
        <w:rPr>
          <w:rFonts w:cs="Arial"/>
          <w:szCs w:val="19"/>
          <w:lang w:val="sk-SK"/>
        </w:rPr>
        <w:t xml:space="preserve"> 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 xml:space="preserve">návrhu </w:t>
      </w:r>
      <w:r w:rsidRPr="0073389C">
        <w:rPr>
          <w:rFonts w:cs="Arial"/>
          <w:szCs w:val="19"/>
          <w:lang w:val="sk-SK"/>
        </w:rPr>
        <w:lastRenderedPageBreak/>
        <w:t>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815A6F1"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oznámiť podozrenie zo spáchania trestného činu, priestupku alebo zo spáchania iného správneho deliktu orgánom príslušným podľa trestného poriadku, alebo 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771817">
      <w:pPr>
        <w:pStyle w:val="Default"/>
        <w:numPr>
          <w:ilvl w:val="1"/>
          <w:numId w:val="114"/>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0328108E"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9D7F63" w:rsidRPr="0073389C">
        <w:rPr>
          <w:rFonts w:ascii="Arial" w:hAnsi="Arial" w:cs="Arial"/>
          <w:sz w:val="19"/>
          <w:szCs w:val="19"/>
          <w:lang w:val="sk-SK"/>
        </w:rPr>
        <w:lastRenderedPageBreak/>
        <w:t xml:space="preserve">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 xml:space="preserve">účasť relevantných osôb a poskytnúť členom kontrolnej skupiny potrebnú súčinnosť pri výkone kontroly. </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 xml:space="preserve">o prijímateľa, ktorý je účtovnou jednotkou. V prípade, ak prijímateľ nie je účtovnou jednotkou, vedie evidenciu majetku, záväzkov, príjmov a výdavkov týkajúcich sa projektu v účtovných knihách so </w:t>
      </w:r>
      <w:r w:rsidRPr="0073389C">
        <w:rPr>
          <w:rFonts w:cs="Arial"/>
          <w:szCs w:val="19"/>
          <w:lang w:val="sk-SK"/>
        </w:rPr>
        <w:lastRenderedPageBreak/>
        <w:t>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9A78AB">
      <w:pPr>
        <w:pStyle w:val="Default"/>
        <w:numPr>
          <w:ilvl w:val="0"/>
          <w:numId w:val="98"/>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9A78AB">
      <w:pPr>
        <w:pStyle w:val="Default"/>
        <w:numPr>
          <w:ilvl w:val="0"/>
          <w:numId w:val="43"/>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A78AB">
      <w:pPr>
        <w:pStyle w:val="Default"/>
        <w:numPr>
          <w:ilvl w:val="0"/>
          <w:numId w:val="99"/>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8"/>
      <w:footerReference w:type="first" r:id="rId2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2BE62" w14:textId="77777777" w:rsidR="007B4165" w:rsidRDefault="007B4165">
      <w:r>
        <w:separator/>
      </w:r>
    </w:p>
    <w:p w14:paraId="468E839A" w14:textId="77777777" w:rsidR="007B4165" w:rsidRDefault="007B4165"/>
  </w:endnote>
  <w:endnote w:type="continuationSeparator" w:id="0">
    <w:p w14:paraId="26833EE0" w14:textId="77777777" w:rsidR="007B4165" w:rsidRDefault="007B4165">
      <w:r>
        <w:continuationSeparator/>
      </w:r>
    </w:p>
    <w:p w14:paraId="140FD0C6" w14:textId="77777777" w:rsidR="007B4165" w:rsidRDefault="007B4165"/>
  </w:endnote>
  <w:endnote w:type="continuationNotice" w:id="1">
    <w:p w14:paraId="615E7166" w14:textId="77777777" w:rsidR="007B4165" w:rsidRDefault="007B41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9D60EA" w:rsidRDefault="009D60EA">
    <w:pPr>
      <w:pStyle w:val="Pta"/>
      <w:jc w:val="right"/>
    </w:pPr>
    <w:r>
      <w:fldChar w:fldCharType="begin"/>
    </w:r>
    <w:r>
      <w:instrText xml:space="preserve"> PAGE   \* MERGEFORMAT </w:instrText>
    </w:r>
    <w:r>
      <w:fldChar w:fldCharType="separate"/>
    </w:r>
    <w:r w:rsidR="00C561A3">
      <w:rPr>
        <w:noProof/>
      </w:rPr>
      <w:t>20</w:t>
    </w:r>
    <w:r>
      <w:rPr>
        <w:noProof/>
      </w:rPr>
      <w:fldChar w:fldCharType="end"/>
    </w:r>
  </w:p>
  <w:p w14:paraId="5596B515" w14:textId="77777777" w:rsidR="009D60EA" w:rsidRPr="003530AF" w:rsidRDefault="009D60EA"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9D60EA" w:rsidRDefault="009D60EA">
        <w:pPr>
          <w:pStyle w:val="Pta"/>
          <w:jc w:val="right"/>
        </w:pPr>
        <w:r>
          <w:fldChar w:fldCharType="begin"/>
        </w:r>
        <w:r>
          <w:instrText>PAGE   \* MERGEFORMAT</w:instrText>
        </w:r>
        <w:r>
          <w:fldChar w:fldCharType="separate"/>
        </w:r>
        <w:r w:rsidR="00C561A3" w:rsidRPr="00C561A3">
          <w:rPr>
            <w:noProof/>
            <w:lang w:val="sk-SK"/>
          </w:rPr>
          <w:t>1</w:t>
        </w:r>
        <w:r>
          <w:fldChar w:fldCharType="end"/>
        </w:r>
      </w:p>
    </w:sdtContent>
  </w:sdt>
  <w:p w14:paraId="3B48FDCA" w14:textId="77777777" w:rsidR="009D60EA" w:rsidRDefault="009D60E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9C2B4" w14:textId="77777777" w:rsidR="007B4165" w:rsidRDefault="007B4165">
      <w:r>
        <w:separator/>
      </w:r>
    </w:p>
    <w:p w14:paraId="254F1A6E" w14:textId="77777777" w:rsidR="007B4165" w:rsidRDefault="007B4165"/>
  </w:footnote>
  <w:footnote w:type="continuationSeparator" w:id="0">
    <w:p w14:paraId="64A54D54" w14:textId="77777777" w:rsidR="007B4165" w:rsidRDefault="007B4165">
      <w:r>
        <w:continuationSeparator/>
      </w:r>
    </w:p>
    <w:p w14:paraId="34946C47" w14:textId="77777777" w:rsidR="007B4165" w:rsidRDefault="007B4165"/>
  </w:footnote>
  <w:footnote w:type="continuationNotice" w:id="1">
    <w:p w14:paraId="5EC2960F" w14:textId="77777777" w:rsidR="007B4165" w:rsidRDefault="007B4165"/>
  </w:footnote>
  <w:footnote w:id="2">
    <w:p w14:paraId="7A55D546" w14:textId="77777777" w:rsidR="009D60EA" w:rsidRPr="009D7F63" w:rsidRDefault="009D60EA"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9D60EA" w:rsidRPr="009D7F63" w:rsidRDefault="009D60EA"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9D60EA" w:rsidRPr="009D7F63" w:rsidRDefault="009D60EA"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9D60EA" w:rsidRPr="00587015" w:rsidRDefault="009D60EA"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9D60EA" w:rsidRPr="009D7F63" w:rsidRDefault="009D60EA"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9D60EA" w:rsidRPr="00E25071" w:rsidRDefault="009D60EA"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9D60EA" w:rsidRPr="009D7F63" w:rsidRDefault="009D60EA"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9D60EA" w:rsidRPr="009D7F63" w:rsidRDefault="009D60EA">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9D60EA" w:rsidRPr="007D7535" w:rsidRDefault="009D60EA"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9D60EA" w:rsidRPr="009D7F63" w:rsidRDefault="009D60EA"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9D60EA" w:rsidRPr="009D7F63" w:rsidRDefault="009D60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9D60EA" w:rsidRPr="009D7F63" w:rsidRDefault="009D60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9D60EA" w:rsidRPr="009D7F63" w:rsidRDefault="009D60EA"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9D60EA" w:rsidRPr="009D7F63" w:rsidRDefault="009D60EA"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9D60EA" w:rsidRPr="009D7F63" w:rsidRDefault="009D60EA"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9D60EA" w:rsidRPr="009D7F63" w:rsidRDefault="009D60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9D60EA" w:rsidRPr="009D7F63" w:rsidRDefault="009D60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9D60EA" w:rsidRPr="009D7F63" w:rsidRDefault="009D60EA"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9D60EA" w:rsidRPr="00041D2E" w:rsidRDefault="009D60EA" w:rsidP="00041D2E">
      <w:pPr>
        <w:pStyle w:val="Textpoznmkypodiarou"/>
        <w:rPr>
          <w:lang w:val="sk-SK"/>
        </w:rPr>
      </w:pPr>
      <w:r w:rsidRPr="009D7F63">
        <w:rPr>
          <w:rFonts w:cs="Arial"/>
          <w:szCs w:val="16"/>
          <w:lang w:val="sk-SK" w:eastAsia="cs-CZ"/>
        </w:rPr>
        <w:t>4. pohonné hmoty.</w:t>
      </w:r>
    </w:p>
  </w:footnote>
  <w:footnote w:id="13">
    <w:p w14:paraId="7A55D551" w14:textId="77777777" w:rsidR="009D60EA" w:rsidRPr="009D7F63" w:rsidRDefault="009D60EA"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9D60EA" w:rsidRPr="009D7F63" w:rsidRDefault="009D60EA"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9D60EA" w:rsidRPr="009D7F63" w:rsidRDefault="009D60EA"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9D60EA" w:rsidRDefault="009D60EA"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9D60EA" w:rsidRPr="009D7F63" w:rsidRDefault="009D60EA">
      <w:pPr>
        <w:pStyle w:val="Textpoznmkypodiarou"/>
        <w:rPr>
          <w:rFonts w:cs="Arial"/>
          <w:szCs w:val="16"/>
          <w:lang w:val="sk-SK"/>
        </w:rPr>
      </w:pPr>
    </w:p>
  </w:footnote>
  <w:footnote w:id="17">
    <w:p w14:paraId="7A55D555" w14:textId="77777777" w:rsidR="009D60EA" w:rsidRPr="009D7F63" w:rsidRDefault="009D60EA"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9D60EA" w:rsidRPr="006E4CC8" w:rsidRDefault="009D60EA"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9D60EA" w:rsidRPr="007F7349" w:rsidRDefault="009D60EA" w:rsidP="009A78AB">
      <w:pPr>
        <w:pStyle w:val="Odsekzoznamu"/>
        <w:numPr>
          <w:ilvl w:val="0"/>
          <w:numId w:val="92"/>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9D60EA" w:rsidRPr="007F7349" w:rsidRDefault="009D60EA" w:rsidP="009A78AB">
      <w:pPr>
        <w:pStyle w:val="Odsekzoznamu"/>
        <w:numPr>
          <w:ilvl w:val="0"/>
          <w:numId w:val="92"/>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9D60EA" w:rsidRPr="007F7349" w:rsidRDefault="009D60EA" w:rsidP="009A78AB">
      <w:pPr>
        <w:pStyle w:val="Odsekzoznamu"/>
        <w:numPr>
          <w:ilvl w:val="0"/>
          <w:numId w:val="92"/>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9D60EA" w:rsidRPr="00F41F62" w:rsidRDefault="009D60EA"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9D60EA" w:rsidRPr="009D7F63" w:rsidRDefault="009D60EA"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9D60EA" w:rsidRPr="004F28ED" w:rsidRDefault="009D60EA">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9D60EA" w:rsidRPr="00965E93" w:rsidRDefault="009D60EA"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9D60EA" w:rsidRPr="009D7F63" w:rsidRDefault="009D60EA"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9D60EA" w:rsidRPr="009D7F63" w:rsidRDefault="009D60EA"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9D60EA" w:rsidRPr="009D7F63" w:rsidRDefault="009D60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9D60EA" w:rsidRPr="009D7F63" w:rsidRDefault="009D60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9D60EA" w:rsidRPr="009D7F63" w:rsidRDefault="009D60EA"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6">
    <w:p w14:paraId="7A55D55B" w14:textId="77777777" w:rsidR="009D60EA" w:rsidRPr="009D7F63" w:rsidRDefault="009D60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9D60EA" w:rsidRPr="009D7F63" w:rsidRDefault="009D60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9D60EA" w:rsidRPr="009D7F63" w:rsidRDefault="009D60EA"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9D60EA" w:rsidRPr="009D7F63" w:rsidRDefault="009D60EA"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9D60EA" w:rsidRPr="00062F88" w:rsidRDefault="009D60EA"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9D60EA" w:rsidRDefault="009D60EA"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9D60EA" w:rsidRDefault="009D60EA"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9D60EA" w:rsidRDefault="009D60EA"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9D60EA" w:rsidRPr="00027286" w:rsidRDefault="009D60EA"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9D60EA" w:rsidRPr="00AF0A84" w:rsidRDefault="009D60EA">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9D60EA" w:rsidRPr="009D7F63" w:rsidRDefault="009D60EA"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9D60EA" w:rsidRPr="00B275B2" w:rsidRDefault="009D60EA"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9D60EA" w:rsidRPr="001277DD" w:rsidRDefault="009D60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9D60EA" w:rsidRPr="001277DD" w:rsidRDefault="009D60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9D60EA" w:rsidRPr="001277DD" w:rsidRDefault="009D60EA"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0">
    <w:p w14:paraId="44310DB6" w14:textId="77777777" w:rsidR="009D60EA" w:rsidRPr="001277DD" w:rsidRDefault="009D60EA"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77777777" w:rsidR="009D60EA" w:rsidRPr="001277DD" w:rsidRDefault="009D60EA"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2">
    <w:p w14:paraId="250CEFBD" w14:textId="33B32087" w:rsidR="009D60EA" w:rsidRPr="00923BC1" w:rsidRDefault="009D60EA"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3">
    <w:p w14:paraId="414F1A43" w14:textId="265724BA" w:rsidR="009D60EA" w:rsidRPr="00772F95" w:rsidRDefault="009D60EA"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9D60EA" w:rsidRPr="008A522F" w:rsidRDefault="009D60EA"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9D60EA" w:rsidRPr="00CE0C11" w:rsidRDefault="009D60EA"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59C496F8" w14:textId="77777777" w:rsidR="009D60EA" w:rsidRPr="00621D47" w:rsidRDefault="009D60EA"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7">
    <w:p w14:paraId="70BE8EFD" w14:textId="4D3737B4" w:rsidR="009D60EA" w:rsidRPr="00391F1C" w:rsidRDefault="009D60EA"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48">
    <w:p w14:paraId="7A55D567" w14:textId="77777777" w:rsidR="009D60EA" w:rsidRPr="009D7F63" w:rsidRDefault="009D60EA"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9">
    <w:p w14:paraId="7A55D568" w14:textId="77777777" w:rsidR="009D60EA" w:rsidRPr="009D7F63" w:rsidRDefault="009D60EA"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0">
    <w:p w14:paraId="7A55D569" w14:textId="77777777" w:rsidR="009D60EA" w:rsidRPr="009D7F63" w:rsidRDefault="009D60EA"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1">
    <w:p w14:paraId="7A55D56A" w14:textId="77777777" w:rsidR="009D60EA" w:rsidRPr="009D7F63" w:rsidRDefault="009D60EA"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2">
    <w:p w14:paraId="7A55D56B" w14:textId="77777777" w:rsidR="009D60EA" w:rsidRPr="009D7F63" w:rsidRDefault="009D60EA"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3">
    <w:p w14:paraId="7A55D56E" w14:textId="416A13B1" w:rsidR="009D60EA" w:rsidRPr="009D7F63" w:rsidRDefault="009D60EA"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4">
    <w:p w14:paraId="7DAB27E8" w14:textId="77777777" w:rsidR="009D60EA" w:rsidRPr="00405EED" w:rsidRDefault="009D60EA"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5">
    <w:p w14:paraId="7A55D570" w14:textId="36F68E99" w:rsidR="009D60EA" w:rsidRPr="009D7F63" w:rsidRDefault="009D60EA"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6">
    <w:p w14:paraId="7A55D571" w14:textId="77777777" w:rsidR="009D60EA" w:rsidRPr="009D7F63" w:rsidRDefault="009D60EA"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7">
    <w:p w14:paraId="7A55D573" w14:textId="77777777" w:rsidR="009D60EA" w:rsidRPr="009D7F63" w:rsidRDefault="009D60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8">
    <w:p w14:paraId="7A55D574" w14:textId="77777777" w:rsidR="009D60EA" w:rsidRPr="009D7F63" w:rsidRDefault="009D60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9">
    <w:p w14:paraId="7A55D575" w14:textId="2BC95C86" w:rsidR="009D60EA" w:rsidRPr="009D7F63" w:rsidRDefault="009D60EA"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0">
    <w:p w14:paraId="7A55D578" w14:textId="77777777" w:rsidR="009D60EA" w:rsidRPr="009D7F63" w:rsidRDefault="009D60EA"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1">
    <w:p w14:paraId="4F8F3C8B" w14:textId="77777777" w:rsidR="009D60EA" w:rsidRPr="009D7F63" w:rsidRDefault="009D60EA"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2">
    <w:p w14:paraId="451277DD" w14:textId="77777777" w:rsidR="009D60EA" w:rsidRPr="009D7F63" w:rsidRDefault="009D60EA"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3">
    <w:p w14:paraId="7A55D579" w14:textId="67088258" w:rsidR="009D60EA" w:rsidRPr="009D7F63" w:rsidRDefault="009D60EA"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4">
    <w:p w14:paraId="45573155" w14:textId="14B40576" w:rsidR="009D60EA" w:rsidRPr="001A7C8D" w:rsidRDefault="009D60EA">
      <w:pPr>
        <w:pStyle w:val="Textpoznmkypodiarou"/>
        <w:rPr>
          <w:lang w:val="sk-SK"/>
        </w:rPr>
      </w:pPr>
      <w:r>
        <w:rPr>
          <w:rStyle w:val="Odkaznapoznmkupodiarou"/>
        </w:rPr>
        <w:footnoteRef/>
      </w:r>
      <w:r>
        <w:t xml:space="preserve"> V zmysle ustanovenia § 22 ods. 2 zákona o finančnej kontrole</w:t>
      </w:r>
    </w:p>
  </w:footnote>
  <w:footnote w:id="65">
    <w:p w14:paraId="7A55D57A" w14:textId="77777777" w:rsidR="009D60EA" w:rsidRPr="009D7F63" w:rsidRDefault="009D60EA"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9D60EA" w:rsidRPr="009D7F63" w:rsidRDefault="009D60EA">
      <w:pPr>
        <w:pStyle w:val="Textpoznmkypodiarou"/>
        <w:rPr>
          <w:rFonts w:cs="Arial"/>
          <w:szCs w:val="16"/>
          <w:lang w:val="sk-SK"/>
        </w:rPr>
      </w:pPr>
    </w:p>
  </w:footnote>
  <w:footnote w:id="66">
    <w:p w14:paraId="7A55D57C" w14:textId="77777777" w:rsidR="009D60EA" w:rsidRPr="009D7F63" w:rsidRDefault="009D60EA"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7">
    <w:p w14:paraId="7A55D57D" w14:textId="77777777" w:rsidR="009D60EA" w:rsidRPr="009D7F63" w:rsidRDefault="009D60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8">
    <w:p w14:paraId="7A55D57E" w14:textId="77777777" w:rsidR="009D60EA" w:rsidRPr="009D7F63" w:rsidRDefault="009D60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9">
    <w:p w14:paraId="7A55D57F" w14:textId="77777777" w:rsidR="009D60EA" w:rsidRPr="009D7F63" w:rsidRDefault="009D60EA"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0">
    <w:p w14:paraId="7A55D580" w14:textId="77777777" w:rsidR="009D60EA" w:rsidRPr="009D7F63" w:rsidRDefault="009D60EA"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1">
    <w:p w14:paraId="7A55D581" w14:textId="77777777" w:rsidR="009D60EA" w:rsidRPr="009D7F63" w:rsidRDefault="009D60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2">
    <w:p w14:paraId="7A55D582" w14:textId="77777777" w:rsidR="009D60EA" w:rsidRPr="009D7F63" w:rsidRDefault="009D60EA"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3">
    <w:p w14:paraId="7A55D583" w14:textId="052EABFD" w:rsidR="009D60EA" w:rsidRPr="009D7F63" w:rsidRDefault="009D60EA"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9D60EA" w:rsidRPr="009D7F63" w:rsidRDefault="009D60EA"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9D60EA" w:rsidRPr="009D7F63" w:rsidRDefault="009D60EA"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9D60EA" w:rsidRPr="002D4DD9" w:rsidRDefault="009D60EA"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4">
    <w:p w14:paraId="7A55D587" w14:textId="77777777" w:rsidR="009D60EA" w:rsidRPr="002D4DD9" w:rsidRDefault="009D60EA"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5">
    <w:p w14:paraId="7A55D588" w14:textId="4C7D466E" w:rsidR="009D60EA" w:rsidRPr="00666AC8" w:rsidRDefault="009D60EA"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6">
    <w:p w14:paraId="7A55D589" w14:textId="5F9FD177" w:rsidR="009D60EA" w:rsidRPr="002D4DD9" w:rsidRDefault="009D60EA"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7">
    <w:p w14:paraId="7A55D58A" w14:textId="010C8D03" w:rsidR="009D60EA" w:rsidRPr="002D4DD9" w:rsidRDefault="009D60EA"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8">
    <w:p w14:paraId="7A55D58B" w14:textId="77777777" w:rsidR="009D60EA" w:rsidRPr="002D4DD9" w:rsidRDefault="009D60EA"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9">
    <w:p w14:paraId="7A55D58D" w14:textId="03BDB2CD" w:rsidR="009D60EA" w:rsidRPr="009D7F63" w:rsidRDefault="009D60EA"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0">
    <w:p w14:paraId="7A55D58E" w14:textId="77777777" w:rsidR="009D60EA" w:rsidRPr="009D7F63" w:rsidRDefault="009D60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18F68BE6" w14:textId="77777777" w:rsidR="009D60EA" w:rsidRPr="009D7F63" w:rsidRDefault="009D60EA"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2">
    <w:p w14:paraId="245656D0" w14:textId="34CF1211" w:rsidR="009D60EA" w:rsidRPr="009D7F63" w:rsidRDefault="009D60EA"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3">
    <w:p w14:paraId="531C004A" w14:textId="77777777" w:rsidR="009D60EA" w:rsidRPr="009D7F63" w:rsidRDefault="009D60EA"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84">
    <w:p w14:paraId="1BAE06D9" w14:textId="3DB56B7A" w:rsidR="009D60EA" w:rsidRPr="008D4874" w:rsidRDefault="009D60EA">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5">
    <w:p w14:paraId="06A0F700" w14:textId="0A8847BF" w:rsidR="009D60EA" w:rsidRPr="00A9227A" w:rsidRDefault="009D60EA"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14:paraId="7A55D594" w14:textId="7255982C" w:rsidR="009D60EA" w:rsidRPr="009D7F63" w:rsidRDefault="009D60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7">
    <w:p w14:paraId="7A55D597" w14:textId="7291098D" w:rsidR="009D60EA" w:rsidRPr="009D7F63" w:rsidRDefault="009D60EA"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8">
    <w:p w14:paraId="7A55D598" w14:textId="1F811B32" w:rsidR="009D60EA" w:rsidRPr="009D7F63" w:rsidRDefault="009D60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89">
    <w:p w14:paraId="7A55D599" w14:textId="36FD13E6" w:rsidR="009D60EA" w:rsidRPr="009D7F63" w:rsidRDefault="009D60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0">
    <w:p w14:paraId="155B50B0" w14:textId="6BA108FC" w:rsidR="009D60EA" w:rsidRPr="001D76D4" w:rsidRDefault="009D60EA">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1">
    <w:p w14:paraId="2376272C" w14:textId="0C61265A" w:rsidR="009D60EA" w:rsidRDefault="007B4165" w:rsidP="009D7F63">
      <w:pPr>
        <w:pStyle w:val="Textpoznmkypodiarou"/>
        <w:rPr>
          <w:rFonts w:cs="Arial"/>
          <w:szCs w:val="16"/>
          <w:lang w:val="sk-SK"/>
        </w:rPr>
      </w:pPr>
      <w:hyperlink r:id="rId3" w:history="1">
        <w:r w:rsidR="009D60EA" w:rsidRPr="00D11568">
          <w:rPr>
            <w:rStyle w:val="Hypertextovprepojenie"/>
            <w:rFonts w:cs="Arial"/>
            <w:sz w:val="16"/>
            <w:szCs w:val="16"/>
            <w:lang w:val="sk-SK"/>
          </w:rPr>
          <w:t>http://www.uvo.gov.sk/legislativametodika-dohlad/metodicke-usmernenia/vseobecne-metodicke-usmernenia-zakon-c-252006-z-z--4bc.html</w:t>
        </w:r>
      </w:hyperlink>
      <w:r w:rsidR="009D60EA" w:rsidRPr="00D11568">
        <w:rPr>
          <w:rFonts w:cs="Arial"/>
          <w:szCs w:val="16"/>
          <w:lang w:val="sk-SK"/>
        </w:rPr>
        <w:t xml:space="preserve">  a http://www.uvo.gov.sk/legislativametodika-dohlad/metodicke-usmernenia/vseobecne-metodicke-usmernenia-zakon-c-3432015-z-z--51e.html</w:t>
      </w:r>
      <w:r w:rsidR="009D60EA" w:rsidRPr="00D11568" w:rsidDel="00D11568">
        <w:rPr>
          <w:rFonts w:cs="Arial"/>
          <w:szCs w:val="16"/>
          <w:lang w:val="sk-SK"/>
        </w:rPr>
        <w:t xml:space="preserve"> </w:t>
      </w:r>
      <w:r w:rsidR="009D60EA" w:rsidRPr="00552EAD">
        <w:rPr>
          <w:rStyle w:val="Odkaznapoznmkupodiarou"/>
          <w:rFonts w:cs="Arial"/>
          <w:szCs w:val="16"/>
          <w:vertAlign w:val="baseline"/>
        </w:rPr>
        <w:t xml:space="preserve"> </w:t>
      </w:r>
      <w:r w:rsidR="009D60EA" w:rsidRPr="009D7F63">
        <w:rPr>
          <w:rStyle w:val="Odkaznapoznmkupodiarou"/>
          <w:rFonts w:cs="Arial"/>
          <w:szCs w:val="16"/>
        </w:rPr>
        <w:footnoteRef/>
      </w:r>
    </w:p>
    <w:p w14:paraId="7A55D59A" w14:textId="542F27CA" w:rsidR="009D60EA" w:rsidRPr="009D7F63" w:rsidRDefault="009D60EA" w:rsidP="009D7F63">
      <w:pPr>
        <w:pStyle w:val="Textpoznmkypodiarou"/>
        <w:rPr>
          <w:rFonts w:cs="Arial"/>
          <w:szCs w:val="16"/>
          <w:lang w:val="sk-SK"/>
        </w:rPr>
      </w:pPr>
    </w:p>
  </w:footnote>
  <w:footnote w:id="92">
    <w:p w14:paraId="7A55D59B" w14:textId="77777777" w:rsidR="009D60EA" w:rsidRPr="009D7F63" w:rsidRDefault="009D60EA"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9D60EA" w:rsidRPr="009D7F63" w:rsidRDefault="009D60EA"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9D60EA" w:rsidRPr="009D7F63" w:rsidRDefault="009D60EA" w:rsidP="009D7F63">
      <w:pPr>
        <w:pStyle w:val="Textpoznmkypodiarou"/>
        <w:rPr>
          <w:rFonts w:cs="Arial"/>
          <w:szCs w:val="16"/>
        </w:rPr>
      </w:pPr>
    </w:p>
  </w:footnote>
  <w:footnote w:id="93">
    <w:p w14:paraId="7758003D" w14:textId="22D7C67A" w:rsidR="009D60EA" w:rsidRPr="00E70656" w:rsidRDefault="009D60EA">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4">
    <w:p w14:paraId="7A55D59E" w14:textId="77777777" w:rsidR="009D60EA" w:rsidRPr="009D7F63" w:rsidRDefault="009D60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5">
    <w:p w14:paraId="7A55D59F" w14:textId="77777777" w:rsidR="009D60EA" w:rsidRPr="009D7F63" w:rsidRDefault="009D60EA"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6">
    <w:p w14:paraId="7A55D5A0" w14:textId="77777777" w:rsidR="009D60EA" w:rsidRPr="009D7F63" w:rsidRDefault="009D60EA"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7">
    <w:p w14:paraId="6D173C29" w14:textId="17D0C2A7" w:rsidR="009D60EA" w:rsidRPr="00963E0D" w:rsidRDefault="009D60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8">
    <w:p w14:paraId="17304A12" w14:textId="40A4FD60" w:rsidR="009D60EA" w:rsidRPr="00963E0D" w:rsidRDefault="009D60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99">
    <w:p w14:paraId="169A4593" w14:textId="3DC46A8E" w:rsidR="009D60EA" w:rsidRPr="00963E0D" w:rsidRDefault="009D60EA">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0">
    <w:p w14:paraId="7A55D5A1" w14:textId="77777777" w:rsidR="009D60EA" w:rsidRPr="009D7F63" w:rsidRDefault="009D60EA"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1">
    <w:p w14:paraId="2A432946" w14:textId="35C29B09" w:rsidR="009D60EA" w:rsidRPr="001325C0" w:rsidRDefault="009D60EA">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2">
    <w:p w14:paraId="19A2FB50" w14:textId="3C8C6416" w:rsidR="009D60EA" w:rsidRPr="001325C0" w:rsidRDefault="009D60EA">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3">
    <w:p w14:paraId="6CF6D88E" w14:textId="77777777" w:rsidR="009D60EA" w:rsidRPr="001325C0" w:rsidRDefault="009D60EA"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9D60EA" w:rsidRPr="001325C0" w:rsidRDefault="009D60EA">
      <w:pPr>
        <w:pStyle w:val="Textpoznmkypodiarou"/>
        <w:rPr>
          <w:lang w:val="sk-SK"/>
        </w:rPr>
      </w:pPr>
    </w:p>
  </w:footnote>
  <w:footnote w:id="104">
    <w:p w14:paraId="60152099" w14:textId="6522BB22" w:rsidR="009D60EA" w:rsidRPr="00DF0865" w:rsidRDefault="009D60EA">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5">
    <w:p w14:paraId="7A55D5A3" w14:textId="77777777" w:rsidR="009D60EA" w:rsidRPr="009D7F63" w:rsidRDefault="009D60EA"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A60935"/>
    <w:multiLevelType w:val="hybridMultilevel"/>
    <w:tmpl w:val="E94A5CE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2D641F0"/>
    <w:multiLevelType w:val="hybridMultilevel"/>
    <w:tmpl w:val="9A68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8">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9">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4B659C"/>
    <w:multiLevelType w:val="hybridMultilevel"/>
    <w:tmpl w:val="E0FCD59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BF93BFA"/>
    <w:multiLevelType w:val="hybridMultilevel"/>
    <w:tmpl w:val="6E38EFA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4935A9"/>
    <w:multiLevelType w:val="hybridMultilevel"/>
    <w:tmpl w:val="E23CC070"/>
    <w:lvl w:ilvl="0" w:tplc="938A899E">
      <w:start w:val="1"/>
      <w:numFmt w:val="bullet"/>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9">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2">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6E27D9A"/>
    <w:multiLevelType w:val="hybridMultilevel"/>
    <w:tmpl w:val="894825C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6"/>
  </w:num>
  <w:num w:numId="2">
    <w:abstractNumId w:val="25"/>
  </w:num>
  <w:num w:numId="3">
    <w:abstractNumId w:val="86"/>
  </w:num>
  <w:num w:numId="4">
    <w:abstractNumId w:val="20"/>
  </w:num>
  <w:num w:numId="5">
    <w:abstractNumId w:val="42"/>
  </w:num>
  <w:num w:numId="6">
    <w:abstractNumId w:val="110"/>
  </w:num>
  <w:num w:numId="7">
    <w:abstractNumId w:val="109"/>
  </w:num>
  <w:num w:numId="8">
    <w:abstractNumId w:val="77"/>
  </w:num>
  <w:num w:numId="9">
    <w:abstractNumId w:val="92"/>
  </w:num>
  <w:num w:numId="10">
    <w:abstractNumId w:val="50"/>
  </w:num>
  <w:num w:numId="11">
    <w:abstractNumId w:val="74"/>
  </w:num>
  <w:num w:numId="12">
    <w:abstractNumId w:val="99"/>
  </w:num>
  <w:num w:numId="13">
    <w:abstractNumId w:val="1"/>
  </w:num>
  <w:num w:numId="14">
    <w:abstractNumId w:val="28"/>
  </w:num>
  <w:num w:numId="15">
    <w:abstractNumId w:val="59"/>
  </w:num>
  <w:num w:numId="16">
    <w:abstractNumId w:val="8"/>
  </w:num>
  <w:num w:numId="17">
    <w:abstractNumId w:val="9"/>
  </w:num>
  <w:num w:numId="18">
    <w:abstractNumId w:val="55"/>
  </w:num>
  <w:num w:numId="19">
    <w:abstractNumId w:val="78"/>
  </w:num>
  <w:num w:numId="20">
    <w:abstractNumId w:val="27"/>
  </w:num>
  <w:num w:numId="21">
    <w:abstractNumId w:val="57"/>
  </w:num>
  <w:num w:numId="22">
    <w:abstractNumId w:val="66"/>
  </w:num>
  <w:num w:numId="23">
    <w:abstractNumId w:val="8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0"/>
  </w:num>
  <w:num w:numId="28">
    <w:abstractNumId w:val="69"/>
  </w:num>
  <w:num w:numId="29">
    <w:abstractNumId w:val="93"/>
  </w:num>
  <w:num w:numId="30">
    <w:abstractNumId w:val="75"/>
  </w:num>
  <w:num w:numId="31">
    <w:abstractNumId w:val="105"/>
  </w:num>
  <w:num w:numId="32">
    <w:abstractNumId w:val="19"/>
  </w:num>
  <w:num w:numId="33">
    <w:abstractNumId w:val="90"/>
  </w:num>
  <w:num w:numId="34">
    <w:abstractNumId w:val="96"/>
  </w:num>
  <w:num w:numId="35">
    <w:abstractNumId w:val="101"/>
  </w:num>
  <w:num w:numId="36">
    <w:abstractNumId w:val="40"/>
  </w:num>
  <w:num w:numId="37">
    <w:abstractNumId w:val="49"/>
  </w:num>
  <w:num w:numId="38">
    <w:abstractNumId w:val="47"/>
  </w:num>
  <w:num w:numId="39">
    <w:abstractNumId w:val="54"/>
  </w:num>
  <w:num w:numId="40">
    <w:abstractNumId w:val="64"/>
  </w:num>
  <w:num w:numId="41">
    <w:abstractNumId w:val="104"/>
  </w:num>
  <w:num w:numId="42">
    <w:abstractNumId w:val="3"/>
  </w:num>
  <w:num w:numId="43">
    <w:abstractNumId w:val="52"/>
  </w:num>
  <w:num w:numId="44">
    <w:abstractNumId w:val="73"/>
  </w:num>
  <w:num w:numId="45">
    <w:abstractNumId w:val="6"/>
  </w:num>
  <w:num w:numId="46">
    <w:abstractNumId w:val="35"/>
  </w:num>
  <w:num w:numId="47">
    <w:abstractNumId w:val="84"/>
  </w:num>
  <w:num w:numId="48">
    <w:abstractNumId w:val="91"/>
  </w:num>
  <w:num w:numId="49">
    <w:abstractNumId w:val="51"/>
  </w:num>
  <w:num w:numId="50">
    <w:abstractNumId w:val="67"/>
  </w:num>
  <w:num w:numId="51">
    <w:abstractNumId w:val="100"/>
  </w:num>
  <w:num w:numId="52">
    <w:abstractNumId w:val="34"/>
  </w:num>
  <w:num w:numId="53">
    <w:abstractNumId w:val="21"/>
  </w:num>
  <w:num w:numId="54">
    <w:abstractNumId w:val="10"/>
  </w:num>
  <w:num w:numId="55">
    <w:abstractNumId w:val="37"/>
  </w:num>
  <w:num w:numId="56">
    <w:abstractNumId w:val="26"/>
  </w:num>
  <w:num w:numId="57">
    <w:abstractNumId w:val="38"/>
  </w:num>
  <w:num w:numId="58">
    <w:abstractNumId w:val="41"/>
  </w:num>
  <w:num w:numId="59">
    <w:abstractNumId w:val="61"/>
  </w:num>
  <w:num w:numId="60">
    <w:abstractNumId w:val="16"/>
  </w:num>
  <w:num w:numId="61">
    <w:abstractNumId w:val="72"/>
  </w:num>
  <w:num w:numId="62">
    <w:abstractNumId w:val="53"/>
  </w:num>
  <w:num w:numId="63">
    <w:abstractNumId w:val="43"/>
  </w:num>
  <w:num w:numId="64">
    <w:abstractNumId w:val="82"/>
  </w:num>
  <w:num w:numId="65">
    <w:abstractNumId w:val="89"/>
  </w:num>
  <w:num w:numId="66">
    <w:abstractNumId w:val="63"/>
  </w:num>
  <w:num w:numId="67">
    <w:abstractNumId w:val="7"/>
  </w:num>
  <w:num w:numId="68">
    <w:abstractNumId w:val="33"/>
  </w:num>
  <w:num w:numId="69">
    <w:abstractNumId w:val="39"/>
  </w:num>
  <w:num w:numId="70">
    <w:abstractNumId w:val="15"/>
  </w:num>
  <w:num w:numId="71">
    <w:abstractNumId w:val="71"/>
  </w:num>
  <w:num w:numId="72">
    <w:abstractNumId w:val="17"/>
  </w:num>
  <w:num w:numId="73">
    <w:abstractNumId w:val="102"/>
  </w:num>
  <w:num w:numId="74">
    <w:abstractNumId w:val="58"/>
  </w:num>
  <w:num w:numId="75">
    <w:abstractNumId w:val="31"/>
  </w:num>
  <w:num w:numId="76">
    <w:abstractNumId w:val="97"/>
  </w:num>
  <w:num w:numId="77">
    <w:abstractNumId w:val="14"/>
  </w:num>
  <w:num w:numId="78">
    <w:abstractNumId w:val="107"/>
  </w:num>
  <w:num w:numId="79">
    <w:abstractNumId w:val="22"/>
  </w:num>
  <w:num w:numId="80">
    <w:abstractNumId w:val="106"/>
  </w:num>
  <w:num w:numId="81">
    <w:abstractNumId w:val="44"/>
  </w:num>
  <w:num w:numId="82">
    <w:abstractNumId w:val="111"/>
  </w:num>
  <w:num w:numId="83">
    <w:abstractNumId w:val="45"/>
  </w:num>
  <w:num w:numId="84">
    <w:abstractNumId w:val="29"/>
  </w:num>
  <w:num w:numId="85">
    <w:abstractNumId w:val="94"/>
  </w:num>
  <w:num w:numId="86">
    <w:abstractNumId w:val="62"/>
  </w:num>
  <w:num w:numId="87">
    <w:abstractNumId w:val="11"/>
  </w:num>
  <w:num w:numId="88">
    <w:abstractNumId w:val="32"/>
  </w:num>
  <w:num w:numId="89">
    <w:abstractNumId w:val="24"/>
  </w:num>
  <w:num w:numId="90">
    <w:abstractNumId w:val="76"/>
  </w:num>
  <w:num w:numId="91">
    <w:abstractNumId w:val="60"/>
  </w:num>
  <w:num w:numId="92">
    <w:abstractNumId w:val="36"/>
  </w:num>
  <w:num w:numId="93">
    <w:abstractNumId w:val="12"/>
  </w:num>
  <w:num w:numId="94">
    <w:abstractNumId w:val="4"/>
  </w:num>
  <w:num w:numId="95">
    <w:abstractNumId w:val="103"/>
  </w:num>
  <w:num w:numId="96">
    <w:abstractNumId w:val="13"/>
  </w:num>
  <w:num w:numId="97">
    <w:abstractNumId w:val="48"/>
  </w:num>
  <w:num w:numId="98">
    <w:abstractNumId w:val="85"/>
  </w:num>
  <w:num w:numId="99">
    <w:abstractNumId w:val="81"/>
  </w:num>
  <w:num w:numId="100">
    <w:abstractNumId w:val="46"/>
  </w:num>
  <w:num w:numId="101">
    <w:abstractNumId w:val="87"/>
  </w:num>
  <w:num w:numId="102">
    <w:abstractNumId w:val="65"/>
  </w:num>
  <w:num w:numId="103">
    <w:abstractNumId w:val="112"/>
  </w:num>
  <w:num w:numId="104">
    <w:abstractNumId w:val="98"/>
  </w:num>
  <w:num w:numId="105">
    <w:abstractNumId w:val="25"/>
  </w:num>
  <w:num w:numId="106">
    <w:abstractNumId w:val="30"/>
  </w:num>
  <w:num w:numId="107">
    <w:abstractNumId w:val="23"/>
  </w:num>
  <w:num w:numId="108">
    <w:abstractNumId w:val="5"/>
  </w:num>
  <w:num w:numId="109">
    <w:abstractNumId w:val="108"/>
  </w:num>
  <w:num w:numId="110">
    <w:abstractNumId w:val="79"/>
  </w:num>
  <w:num w:numId="111">
    <w:abstractNumId w:val="2"/>
  </w:num>
  <w:num w:numId="112">
    <w:abstractNumId w:val="80"/>
  </w:num>
  <w:num w:numId="113">
    <w:abstractNumId w:val="68"/>
  </w:num>
  <w:num w:numId="114">
    <w:abstractNumId w:val="95"/>
  </w:num>
  <w:num w:numId="115">
    <w:abstractNumId w:val="1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27E6"/>
    <w:rsid w:val="00062854"/>
    <w:rsid w:val="00062F88"/>
    <w:rsid w:val="00063A25"/>
    <w:rsid w:val="00063DFD"/>
    <w:rsid w:val="000643D3"/>
    <w:rsid w:val="000647EC"/>
    <w:rsid w:val="00064894"/>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EC0"/>
    <w:rsid w:val="000777A9"/>
    <w:rsid w:val="00077FB0"/>
    <w:rsid w:val="0008051F"/>
    <w:rsid w:val="00080933"/>
    <w:rsid w:val="00080E75"/>
    <w:rsid w:val="000818F8"/>
    <w:rsid w:val="00081B61"/>
    <w:rsid w:val="00081D9F"/>
    <w:rsid w:val="000822CA"/>
    <w:rsid w:val="000824D7"/>
    <w:rsid w:val="00082BA9"/>
    <w:rsid w:val="00083000"/>
    <w:rsid w:val="00083192"/>
    <w:rsid w:val="000834A4"/>
    <w:rsid w:val="00083C26"/>
    <w:rsid w:val="0008428B"/>
    <w:rsid w:val="00084575"/>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9E"/>
    <w:rsid w:val="000A70DC"/>
    <w:rsid w:val="000A74CB"/>
    <w:rsid w:val="000A788E"/>
    <w:rsid w:val="000B024D"/>
    <w:rsid w:val="000B0A1D"/>
    <w:rsid w:val="000B0BB1"/>
    <w:rsid w:val="000B1E6A"/>
    <w:rsid w:val="000B36A9"/>
    <w:rsid w:val="000B3D21"/>
    <w:rsid w:val="000B3DA3"/>
    <w:rsid w:val="000B4445"/>
    <w:rsid w:val="000B47CC"/>
    <w:rsid w:val="000B4C3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6B0B"/>
    <w:rsid w:val="000E6C6C"/>
    <w:rsid w:val="000E7448"/>
    <w:rsid w:val="000E7465"/>
    <w:rsid w:val="000E7A01"/>
    <w:rsid w:val="000E7C3B"/>
    <w:rsid w:val="000F029A"/>
    <w:rsid w:val="000F0479"/>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733"/>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B91"/>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884"/>
    <w:rsid w:val="00222952"/>
    <w:rsid w:val="00223438"/>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C06"/>
    <w:rsid w:val="00232B3A"/>
    <w:rsid w:val="00232BCC"/>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B54"/>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1D57"/>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246A"/>
    <w:rsid w:val="004025BA"/>
    <w:rsid w:val="00402DEA"/>
    <w:rsid w:val="0040309B"/>
    <w:rsid w:val="004036F6"/>
    <w:rsid w:val="00403E06"/>
    <w:rsid w:val="00403F3B"/>
    <w:rsid w:val="004040B0"/>
    <w:rsid w:val="00404A2A"/>
    <w:rsid w:val="00404BD0"/>
    <w:rsid w:val="00405978"/>
    <w:rsid w:val="00405A32"/>
    <w:rsid w:val="00405EED"/>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B5B"/>
    <w:rsid w:val="004206D2"/>
    <w:rsid w:val="00420F96"/>
    <w:rsid w:val="0042148A"/>
    <w:rsid w:val="00421D77"/>
    <w:rsid w:val="00421DB4"/>
    <w:rsid w:val="004221C7"/>
    <w:rsid w:val="00422ECD"/>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53A4"/>
    <w:rsid w:val="00465EE5"/>
    <w:rsid w:val="00466405"/>
    <w:rsid w:val="00466A54"/>
    <w:rsid w:val="0046791B"/>
    <w:rsid w:val="00467D01"/>
    <w:rsid w:val="00471968"/>
    <w:rsid w:val="00471EA7"/>
    <w:rsid w:val="00472AF4"/>
    <w:rsid w:val="00472BC4"/>
    <w:rsid w:val="00472C88"/>
    <w:rsid w:val="00472F18"/>
    <w:rsid w:val="004739EF"/>
    <w:rsid w:val="00473C8F"/>
    <w:rsid w:val="00474527"/>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D62"/>
    <w:rsid w:val="004B73FD"/>
    <w:rsid w:val="004B7AF5"/>
    <w:rsid w:val="004C0023"/>
    <w:rsid w:val="004C06C8"/>
    <w:rsid w:val="004C0726"/>
    <w:rsid w:val="004C08E8"/>
    <w:rsid w:val="004C1000"/>
    <w:rsid w:val="004C1428"/>
    <w:rsid w:val="004C1E53"/>
    <w:rsid w:val="004C2130"/>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7E0F"/>
    <w:rsid w:val="00520A16"/>
    <w:rsid w:val="00521CF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243A"/>
    <w:rsid w:val="00532990"/>
    <w:rsid w:val="00532D0A"/>
    <w:rsid w:val="00532F49"/>
    <w:rsid w:val="0053370E"/>
    <w:rsid w:val="005338B3"/>
    <w:rsid w:val="00533D7E"/>
    <w:rsid w:val="00534074"/>
    <w:rsid w:val="00534116"/>
    <w:rsid w:val="00534B87"/>
    <w:rsid w:val="00534E60"/>
    <w:rsid w:val="00536187"/>
    <w:rsid w:val="005374BC"/>
    <w:rsid w:val="0054011F"/>
    <w:rsid w:val="00541144"/>
    <w:rsid w:val="005414F9"/>
    <w:rsid w:val="00541821"/>
    <w:rsid w:val="00541C65"/>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6EBF"/>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7ACF"/>
    <w:rsid w:val="00567B0A"/>
    <w:rsid w:val="00567BFD"/>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5791"/>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A86"/>
    <w:rsid w:val="005B5C10"/>
    <w:rsid w:val="005B63EF"/>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51D9"/>
    <w:rsid w:val="005D6000"/>
    <w:rsid w:val="005D604F"/>
    <w:rsid w:val="005D670E"/>
    <w:rsid w:val="005D7B9B"/>
    <w:rsid w:val="005E02F1"/>
    <w:rsid w:val="005E051A"/>
    <w:rsid w:val="005E1B57"/>
    <w:rsid w:val="005E215D"/>
    <w:rsid w:val="005E3330"/>
    <w:rsid w:val="005E37DE"/>
    <w:rsid w:val="005E421D"/>
    <w:rsid w:val="005E44E8"/>
    <w:rsid w:val="005E4740"/>
    <w:rsid w:val="005E5E18"/>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94E"/>
    <w:rsid w:val="00636BED"/>
    <w:rsid w:val="00636C0F"/>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00F"/>
    <w:rsid w:val="006716B6"/>
    <w:rsid w:val="006719C8"/>
    <w:rsid w:val="00672FF6"/>
    <w:rsid w:val="00673478"/>
    <w:rsid w:val="006739C3"/>
    <w:rsid w:val="00673AFE"/>
    <w:rsid w:val="0067438F"/>
    <w:rsid w:val="00674670"/>
    <w:rsid w:val="00674BCE"/>
    <w:rsid w:val="00674FB6"/>
    <w:rsid w:val="00675571"/>
    <w:rsid w:val="00676BDC"/>
    <w:rsid w:val="00676C50"/>
    <w:rsid w:val="00676D26"/>
    <w:rsid w:val="00676E31"/>
    <w:rsid w:val="00676F77"/>
    <w:rsid w:val="006770B3"/>
    <w:rsid w:val="0067737B"/>
    <w:rsid w:val="00680C8B"/>
    <w:rsid w:val="00680D0B"/>
    <w:rsid w:val="00680E39"/>
    <w:rsid w:val="00681189"/>
    <w:rsid w:val="0068166A"/>
    <w:rsid w:val="00681BA3"/>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80D"/>
    <w:rsid w:val="006B5CA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63E"/>
    <w:rsid w:val="00771817"/>
    <w:rsid w:val="00771D73"/>
    <w:rsid w:val="00772344"/>
    <w:rsid w:val="007725CE"/>
    <w:rsid w:val="00772F95"/>
    <w:rsid w:val="007738BC"/>
    <w:rsid w:val="00773E5D"/>
    <w:rsid w:val="0077462E"/>
    <w:rsid w:val="00775CFE"/>
    <w:rsid w:val="007763FE"/>
    <w:rsid w:val="007765C4"/>
    <w:rsid w:val="00776697"/>
    <w:rsid w:val="0077771C"/>
    <w:rsid w:val="00777B34"/>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CF8"/>
    <w:rsid w:val="00785D23"/>
    <w:rsid w:val="00786243"/>
    <w:rsid w:val="00786470"/>
    <w:rsid w:val="00786BCD"/>
    <w:rsid w:val="00786C23"/>
    <w:rsid w:val="007870A8"/>
    <w:rsid w:val="007877D4"/>
    <w:rsid w:val="00787DA7"/>
    <w:rsid w:val="00787EEA"/>
    <w:rsid w:val="00787F3A"/>
    <w:rsid w:val="00787FDB"/>
    <w:rsid w:val="007908BD"/>
    <w:rsid w:val="00791153"/>
    <w:rsid w:val="00791328"/>
    <w:rsid w:val="0079172C"/>
    <w:rsid w:val="00791BA8"/>
    <w:rsid w:val="00791EA1"/>
    <w:rsid w:val="0079229B"/>
    <w:rsid w:val="0079357A"/>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A9C"/>
    <w:rsid w:val="00843B20"/>
    <w:rsid w:val="0084408F"/>
    <w:rsid w:val="008440AB"/>
    <w:rsid w:val="0084426E"/>
    <w:rsid w:val="0084545B"/>
    <w:rsid w:val="00845789"/>
    <w:rsid w:val="00846426"/>
    <w:rsid w:val="00846844"/>
    <w:rsid w:val="00847181"/>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2116"/>
    <w:rsid w:val="008624EB"/>
    <w:rsid w:val="00864433"/>
    <w:rsid w:val="008646BC"/>
    <w:rsid w:val="00864DCA"/>
    <w:rsid w:val="00865414"/>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A3E"/>
    <w:rsid w:val="008D0CA7"/>
    <w:rsid w:val="008D1552"/>
    <w:rsid w:val="008D155B"/>
    <w:rsid w:val="008D1907"/>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E18"/>
    <w:rsid w:val="008F34DC"/>
    <w:rsid w:val="008F3850"/>
    <w:rsid w:val="008F3E50"/>
    <w:rsid w:val="008F4188"/>
    <w:rsid w:val="008F4189"/>
    <w:rsid w:val="008F4C12"/>
    <w:rsid w:val="008F4F7B"/>
    <w:rsid w:val="008F5611"/>
    <w:rsid w:val="008F6AE6"/>
    <w:rsid w:val="008F7E85"/>
    <w:rsid w:val="00900322"/>
    <w:rsid w:val="00900826"/>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5FF"/>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B43"/>
    <w:rsid w:val="00973F9F"/>
    <w:rsid w:val="00974315"/>
    <w:rsid w:val="009746A1"/>
    <w:rsid w:val="00974980"/>
    <w:rsid w:val="00974C5C"/>
    <w:rsid w:val="0097503D"/>
    <w:rsid w:val="009751E7"/>
    <w:rsid w:val="009754B9"/>
    <w:rsid w:val="0097608B"/>
    <w:rsid w:val="009763D1"/>
    <w:rsid w:val="00977AD2"/>
    <w:rsid w:val="00977E5D"/>
    <w:rsid w:val="00980AB1"/>
    <w:rsid w:val="00980CFE"/>
    <w:rsid w:val="0098100C"/>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0658"/>
    <w:rsid w:val="009A1F8B"/>
    <w:rsid w:val="009A2054"/>
    <w:rsid w:val="009A27FA"/>
    <w:rsid w:val="009A3B71"/>
    <w:rsid w:val="009A4156"/>
    <w:rsid w:val="009A420D"/>
    <w:rsid w:val="009A4965"/>
    <w:rsid w:val="009A5181"/>
    <w:rsid w:val="009A640F"/>
    <w:rsid w:val="009A70F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DB8"/>
    <w:rsid w:val="009C52B1"/>
    <w:rsid w:val="009C5EFE"/>
    <w:rsid w:val="009C63C2"/>
    <w:rsid w:val="009C68E2"/>
    <w:rsid w:val="009C6CD6"/>
    <w:rsid w:val="009D0882"/>
    <w:rsid w:val="009D0EC2"/>
    <w:rsid w:val="009D0EE3"/>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60EA"/>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FEF"/>
    <w:rsid w:val="00A26186"/>
    <w:rsid w:val="00A269AA"/>
    <w:rsid w:val="00A2742B"/>
    <w:rsid w:val="00A27619"/>
    <w:rsid w:val="00A27620"/>
    <w:rsid w:val="00A27749"/>
    <w:rsid w:val="00A30418"/>
    <w:rsid w:val="00A309B4"/>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201"/>
    <w:rsid w:val="00A40230"/>
    <w:rsid w:val="00A408BF"/>
    <w:rsid w:val="00A411B4"/>
    <w:rsid w:val="00A41349"/>
    <w:rsid w:val="00A41DD3"/>
    <w:rsid w:val="00A42288"/>
    <w:rsid w:val="00A44425"/>
    <w:rsid w:val="00A44436"/>
    <w:rsid w:val="00A44714"/>
    <w:rsid w:val="00A449E3"/>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482"/>
    <w:rsid w:val="00AA6A7C"/>
    <w:rsid w:val="00AA6E55"/>
    <w:rsid w:val="00AB0913"/>
    <w:rsid w:val="00AB0D9A"/>
    <w:rsid w:val="00AB135A"/>
    <w:rsid w:val="00AB1B6C"/>
    <w:rsid w:val="00AB1CC9"/>
    <w:rsid w:val="00AB2351"/>
    <w:rsid w:val="00AB2DF3"/>
    <w:rsid w:val="00AB304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E5E"/>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459"/>
    <w:rsid w:val="00B50E09"/>
    <w:rsid w:val="00B514D1"/>
    <w:rsid w:val="00B51E89"/>
    <w:rsid w:val="00B525F3"/>
    <w:rsid w:val="00B52BB0"/>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71E"/>
    <w:rsid w:val="00B8478F"/>
    <w:rsid w:val="00B84A16"/>
    <w:rsid w:val="00B8590E"/>
    <w:rsid w:val="00B85F6E"/>
    <w:rsid w:val="00B8656C"/>
    <w:rsid w:val="00B866F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444"/>
    <w:rsid w:val="00BE64A1"/>
    <w:rsid w:val="00BE6734"/>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F9"/>
    <w:rsid w:val="00C21C65"/>
    <w:rsid w:val="00C228F8"/>
    <w:rsid w:val="00C23C37"/>
    <w:rsid w:val="00C2412C"/>
    <w:rsid w:val="00C256BE"/>
    <w:rsid w:val="00C2599E"/>
    <w:rsid w:val="00C265FA"/>
    <w:rsid w:val="00C26AFF"/>
    <w:rsid w:val="00C270B2"/>
    <w:rsid w:val="00C276BE"/>
    <w:rsid w:val="00C27BA9"/>
    <w:rsid w:val="00C305A5"/>
    <w:rsid w:val="00C30B50"/>
    <w:rsid w:val="00C31C08"/>
    <w:rsid w:val="00C31FD2"/>
    <w:rsid w:val="00C327E3"/>
    <w:rsid w:val="00C32CA4"/>
    <w:rsid w:val="00C33174"/>
    <w:rsid w:val="00C33D17"/>
    <w:rsid w:val="00C33D1F"/>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7815"/>
    <w:rsid w:val="00C578E0"/>
    <w:rsid w:val="00C6030F"/>
    <w:rsid w:val="00C6039F"/>
    <w:rsid w:val="00C6051A"/>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70459"/>
    <w:rsid w:val="00C708FE"/>
    <w:rsid w:val="00C7176A"/>
    <w:rsid w:val="00C71D02"/>
    <w:rsid w:val="00C71E8D"/>
    <w:rsid w:val="00C7207C"/>
    <w:rsid w:val="00C737F3"/>
    <w:rsid w:val="00C7417C"/>
    <w:rsid w:val="00C74812"/>
    <w:rsid w:val="00C74B31"/>
    <w:rsid w:val="00C74CCA"/>
    <w:rsid w:val="00C74CE1"/>
    <w:rsid w:val="00C74ED8"/>
    <w:rsid w:val="00C74FAD"/>
    <w:rsid w:val="00C75046"/>
    <w:rsid w:val="00C750F1"/>
    <w:rsid w:val="00C75340"/>
    <w:rsid w:val="00C7725C"/>
    <w:rsid w:val="00C777D5"/>
    <w:rsid w:val="00C77F3C"/>
    <w:rsid w:val="00C80170"/>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EF8"/>
    <w:rsid w:val="00C91095"/>
    <w:rsid w:val="00C9151E"/>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269B"/>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163"/>
    <w:rsid w:val="00CF7595"/>
    <w:rsid w:val="00CF7FC1"/>
    <w:rsid w:val="00CF7FE7"/>
    <w:rsid w:val="00D00A53"/>
    <w:rsid w:val="00D00C72"/>
    <w:rsid w:val="00D00FC0"/>
    <w:rsid w:val="00D01064"/>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944"/>
    <w:rsid w:val="00D1329B"/>
    <w:rsid w:val="00D13384"/>
    <w:rsid w:val="00D1430A"/>
    <w:rsid w:val="00D150FE"/>
    <w:rsid w:val="00D15902"/>
    <w:rsid w:val="00D17360"/>
    <w:rsid w:val="00D20978"/>
    <w:rsid w:val="00D20C43"/>
    <w:rsid w:val="00D20FD8"/>
    <w:rsid w:val="00D21209"/>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5920"/>
    <w:rsid w:val="00D55D90"/>
    <w:rsid w:val="00D56B79"/>
    <w:rsid w:val="00D6170F"/>
    <w:rsid w:val="00D62225"/>
    <w:rsid w:val="00D6293E"/>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3705"/>
    <w:rsid w:val="00D73CC2"/>
    <w:rsid w:val="00D74BE4"/>
    <w:rsid w:val="00D7508E"/>
    <w:rsid w:val="00D75741"/>
    <w:rsid w:val="00D75922"/>
    <w:rsid w:val="00D75A2A"/>
    <w:rsid w:val="00D76CFE"/>
    <w:rsid w:val="00D76DD9"/>
    <w:rsid w:val="00D773D8"/>
    <w:rsid w:val="00D77BB1"/>
    <w:rsid w:val="00D80B10"/>
    <w:rsid w:val="00D819DB"/>
    <w:rsid w:val="00D8276A"/>
    <w:rsid w:val="00D829A0"/>
    <w:rsid w:val="00D83B75"/>
    <w:rsid w:val="00D83CFF"/>
    <w:rsid w:val="00D842D8"/>
    <w:rsid w:val="00D84945"/>
    <w:rsid w:val="00D849D1"/>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5DAC"/>
    <w:rsid w:val="00DB6603"/>
    <w:rsid w:val="00DB69A0"/>
    <w:rsid w:val="00DB6D3E"/>
    <w:rsid w:val="00DB6D48"/>
    <w:rsid w:val="00DB726D"/>
    <w:rsid w:val="00DB7A4A"/>
    <w:rsid w:val="00DC033E"/>
    <w:rsid w:val="00DC221E"/>
    <w:rsid w:val="00DC296E"/>
    <w:rsid w:val="00DC2D9F"/>
    <w:rsid w:val="00DC32AA"/>
    <w:rsid w:val="00DC337F"/>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1D24"/>
    <w:rsid w:val="00DE2902"/>
    <w:rsid w:val="00DE2E32"/>
    <w:rsid w:val="00DE31AD"/>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411A"/>
    <w:rsid w:val="00E14C2C"/>
    <w:rsid w:val="00E16B50"/>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2032"/>
    <w:rsid w:val="00E533C0"/>
    <w:rsid w:val="00E538ED"/>
    <w:rsid w:val="00E5394F"/>
    <w:rsid w:val="00E53FED"/>
    <w:rsid w:val="00E5526B"/>
    <w:rsid w:val="00E55A2F"/>
    <w:rsid w:val="00E55ACE"/>
    <w:rsid w:val="00E55C38"/>
    <w:rsid w:val="00E56C27"/>
    <w:rsid w:val="00E572B1"/>
    <w:rsid w:val="00E575D3"/>
    <w:rsid w:val="00E57ECE"/>
    <w:rsid w:val="00E60279"/>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B17"/>
    <w:rsid w:val="00ED34A9"/>
    <w:rsid w:val="00ED34C0"/>
    <w:rsid w:val="00ED39F8"/>
    <w:rsid w:val="00ED3C74"/>
    <w:rsid w:val="00ED3F2B"/>
    <w:rsid w:val="00ED4A35"/>
    <w:rsid w:val="00ED53FB"/>
    <w:rsid w:val="00ED6066"/>
    <w:rsid w:val="00ED682D"/>
    <w:rsid w:val="00ED6B25"/>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F00653"/>
    <w:rsid w:val="00F00A2A"/>
    <w:rsid w:val="00F01B47"/>
    <w:rsid w:val="00F01E96"/>
    <w:rsid w:val="00F01EF9"/>
    <w:rsid w:val="00F0254C"/>
    <w:rsid w:val="00F02928"/>
    <w:rsid w:val="00F02967"/>
    <w:rsid w:val="00F02E65"/>
    <w:rsid w:val="00F02F62"/>
    <w:rsid w:val="00F03AC4"/>
    <w:rsid w:val="00F0558E"/>
    <w:rsid w:val="00F06354"/>
    <w:rsid w:val="00F066DC"/>
    <w:rsid w:val="00F06929"/>
    <w:rsid w:val="00F0699D"/>
    <w:rsid w:val="00F06C6E"/>
    <w:rsid w:val="00F06DA9"/>
    <w:rsid w:val="00F0718F"/>
    <w:rsid w:val="00F07C32"/>
    <w:rsid w:val="00F07C82"/>
    <w:rsid w:val="00F1017E"/>
    <w:rsid w:val="00F10255"/>
    <w:rsid w:val="00F10AB1"/>
    <w:rsid w:val="00F10BB5"/>
    <w:rsid w:val="00F114A1"/>
    <w:rsid w:val="00F11C12"/>
    <w:rsid w:val="00F11D35"/>
    <w:rsid w:val="00F11DA6"/>
    <w:rsid w:val="00F11DD8"/>
    <w:rsid w:val="00F11FEB"/>
    <w:rsid w:val="00F121A3"/>
    <w:rsid w:val="00F12286"/>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2302"/>
    <w:rsid w:val="00F33BC6"/>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E12"/>
    <w:rsid w:val="00F642F2"/>
    <w:rsid w:val="00F64F56"/>
    <w:rsid w:val="00F651CD"/>
    <w:rsid w:val="00F659B0"/>
    <w:rsid w:val="00F65A07"/>
    <w:rsid w:val="00F65BCE"/>
    <w:rsid w:val="00F662AB"/>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3EE3"/>
    <w:rsid w:val="00F84A33"/>
    <w:rsid w:val="00F85309"/>
    <w:rsid w:val="00F8595D"/>
    <w:rsid w:val="00F85A01"/>
    <w:rsid w:val="00F85BD5"/>
    <w:rsid w:val="00F85DDA"/>
    <w:rsid w:val="00F864B6"/>
    <w:rsid w:val="00F86A2B"/>
    <w:rsid w:val="00F86CC8"/>
    <w:rsid w:val="00F86DFA"/>
    <w:rsid w:val="00F87512"/>
    <w:rsid w:val="00F877F0"/>
    <w:rsid w:val="00F909D6"/>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5774F30-1A69-439C-8395-136F0257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0"/>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4"/>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102"/>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102"/>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102"/>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102"/>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102"/>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89AFD-139F-4F9A-995D-553CFEAE3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4.xml><?xml version="1.0" encoding="utf-8"?>
<ds:datastoreItem xmlns:ds="http://schemas.openxmlformats.org/officeDocument/2006/customXml" ds:itemID="{17009BC7-0C2D-4A46-BEC1-C044F68B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135</Pages>
  <Words>67008</Words>
  <Characters>381950</Characters>
  <Application>Microsoft Office Word</Application>
  <DocSecurity>0</DocSecurity>
  <Lines>3182</Lines>
  <Paragraphs>896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448062</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Orolínová</dc:creator>
  <cp:lastModifiedBy>Zuzana Hušeková</cp:lastModifiedBy>
  <cp:revision>2</cp:revision>
  <cp:lastPrinted>2016-01-14T08:18:00Z</cp:lastPrinted>
  <dcterms:created xsi:type="dcterms:W3CDTF">2017-02-17T08:20:00Z</dcterms:created>
  <dcterms:modified xsi:type="dcterms:W3CDTF">2017-02-17T08:20:00Z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